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1500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release of extraterritorial jurisdiction and disannexation involving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Local Government Code, is amended by adding Section 42.0252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42.0252.</w:t>
      </w:r>
      <w:r>
        <w:rPr>
          <w:u w:val="single"/>
        </w:rPr>
        <w:t xml:space="preserve"> </w:t>
      </w:r>
      <w:r>
        <w:rPr>
          <w:u w:val="single"/>
        </w:rPr>
        <w:t xml:space="preserve"> </w:t>
      </w:r>
      <w:r>
        <w:rPr>
          <w:u w:val="single"/>
        </w:rPr>
        <w:t xml:space="preserve">RELEASE OF EXTRATERRITORIAL JURISDICTION:  CERTAIN AREAS.  (a)</w:t>
      </w:r>
      <w:r>
        <w:rPr>
          <w:u w:val="single"/>
        </w:rPr>
        <w:t xml:space="preserve"> </w:t>
      </w:r>
      <w:r>
        <w:rPr>
          <w:u w:val="single"/>
        </w:rPr>
        <w:t xml:space="preserve"> </w:t>
      </w:r>
      <w:r>
        <w:rPr>
          <w:u w:val="single"/>
        </w:rPr>
        <w:t xml:space="preserve">This section applies only in the extraterritorial jurisdiction of a municipality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area that is subject to a legal determination that the municipality failed to provide or agree to provide adequate services to the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adjacent to an area described by Subdivision (1);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 of a real estate subdivision that contains all or part of an area described by Subdivision (1);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 the jurisdiction of a single property owners' association that governs the entire real estate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 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in an area described by Subsection (a)(1) or in a portion of the area may petition the municipality to release the area from the municipality's extraterritorial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majority of the registered voters in an area described by Subsection (a)(2) may petition the municipality to release the area from the municipality's extraterritorial jurisdiction if a petition has been filed under Subsection (c) for another area located in the same real estate subdivision.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petition described by this section must be filed with the secretary or clerk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10th day after the date the secretary or clerk receives a petition under this section, the secretary or clerk shall determine whether the petition is valid.  If the petition is determined valid, the governing body of the municipality shall immediately enter in the minutes or records of the municipality an order releasing the area from the municipality's extraterritorial jurisdiction.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an area is released from a municipality's extraterritorial jurisdiction under this section, the area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remain as an unincorporated area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in accordance with state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Section 43.014, be annexed by an adjacent municipality under the procedures prescribed by Subchapter C-3, C-4, or C-5, Chapter 43, as applicable, without being located in the municipality's extraterritorial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 Local Government Code, is amended by adding Section 43.1435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43.1435.</w:t>
      </w:r>
      <w:r>
        <w:rPr>
          <w:u w:val="single"/>
        </w:rPr>
        <w:t xml:space="preserve"> </w:t>
      </w:r>
      <w:r>
        <w:rPr>
          <w:u w:val="single"/>
        </w:rPr>
        <w:t xml:space="preserve"> </w:t>
      </w:r>
      <w:r>
        <w:rPr>
          <w:u w:val="single"/>
        </w:rPr>
        <w:t xml:space="preserve">DISANNEXATION BY PETITION:  CERTAIN REAL ESTATE SUBDIVISIONS.  (a)</w:t>
      </w:r>
      <w:r>
        <w:rPr>
          <w:u w:val="single"/>
        </w:rPr>
        <w:t xml:space="preserve"> </w:t>
      </w:r>
      <w:r>
        <w:rPr>
          <w:u w:val="single"/>
        </w:rPr>
        <w:t xml:space="preserve"> </w:t>
      </w:r>
      <w:r>
        <w:rPr>
          <w:u w:val="single"/>
        </w:rPr>
        <w:t xml:space="preserve">This section applies only to an area that constitutes a portion of a real estate subdivision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and contiguous to the boundary of a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jurisdiction of a property owners' association that governs the entire real estate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a legal determination that the municipality failed to provide or agree to provide adequate services to the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another area in the subdivision that is subject to a legal determination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 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of an area subject to this section may petition the municipality to disannex the area.  The petition must be filed with the secretary or clerk of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the secretary or clerk receives the petition under Subsection (c), the secretary or clerk shall determine whether the petition is valid.  If the petition is determined valid, the governing body of the municipality shall immediately enter in the minutes or records of the municipality an order discontinuing the area as part of the municipality.  The area ceases to be a part of the municipality on the date of the entry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governing body shall continue to levy a property tax each year on the property in the area at the same rate that is levied on other property in the municipality until the taxes collected from the area equal its pro rata share of the indebtedness.  Those taxes may be charged only with the cost of levying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