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87R11003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supreme court rule, practice, or procedure.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supreme court may make and enforce all necessary rules of practice and procedure, not inconsistent with the law, for the government of the supreme court and all other courts of the state to expedite the dispatch of business in those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rule, practice, or procedure made by the supreme court does not apply in a criminal case unless the rule, practice, or procedure has been approved by the presiding judge of the court of criminal appeals.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