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87R10866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salaries of sheriffs and to state assistance payments to offset the cost of sheriff's salaries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152, Local Government Code, is amended by adding Sections 152.0715 and 152.0716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152.0715.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STATEWIDE MINIMUM SALARY OF SHERIFFS.  Notwithstanding any other law, the commissioners court of a county shall provide for each fiscal year a salary of at least $65,000 for the county's sheriff.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152.0716.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FINANCIAL ASSISTANCE TO PAY SALARIES OF SHERIFFS OF CERTAIN COUNTIES.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county with a population of less than 50,001.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serve the state purpose of ensuring professional law enforcement throughout the state, a county is entitled to a state assistance payment from the state for each county fiscal year to assist the county in paying the sheriff's salary required by Section 152.0715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county has a population of 25,000 or less, the county is entitled to a payment of $20,000;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county has a population of more than 25,000 and less than 50,001, the county is entitled to a payment of $5,000.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30th day after the first day of a county's fiscal year, the county must submit an application to the comptroller to receive the payment.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remit the applicable state assistance payment to which a county is entitled from available state funds not later than the 30th day after the date the comptroller receives the county's application for the payment.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county fiscal year that begins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the comptroller of public accounts shall adopt rules as required by Section 152.0716(e), Local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