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1508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election integrity division in the office of the attorney general.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273, Election Code, is amended by adding Section 273.0025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273.0025.</w:t>
      </w:r>
      <w:r>
        <w:rPr>
          <w:u w:val="single"/>
        </w:rPr>
        <w:t xml:space="preserve"> </w:t>
      </w:r>
      <w:r>
        <w:rPr>
          <w:u w:val="single"/>
        </w:rPr>
        <w:t xml:space="preserve"> </w:t>
      </w:r>
      <w:r>
        <w:rPr>
          <w:u w:val="single"/>
        </w:rPr>
        <w:t xml:space="preserve">REQUEST FOR RECORDS.  (a)  An election official or political subdivision shall promptly provide access to election records requested by a law enforcement officer or prosecutor in connection with an investigation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copies of records and information provided pursuant to Subsection (a) or another section of this code shall be provided in an unredacted format and shall, upon request, be certified by the official providing the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 made under this section is not a public information request under Chapter 552, Government Code, and the records and information provided under this section are confidential.  The original election records in the custody of an election official or political subdivision remain subject to existing law, but must be retained pending the final outcome of any investigation and resulting litigation, including appeal.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402, Government Code, is amended by adding Section 402.0385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402.0385.</w:t>
      </w:r>
      <w:r>
        <w:rPr>
          <w:u w:val="single"/>
        </w:rPr>
        <w:t xml:space="preserve"> </w:t>
      </w:r>
      <w:r>
        <w:rPr>
          <w:u w:val="single"/>
        </w:rPr>
        <w:t xml:space="preserve"> </w:t>
      </w:r>
      <w:r>
        <w:rPr>
          <w:u w:val="single"/>
        </w:rPr>
        <w:t xml:space="preserve">ELECTION INTEGRITY DIVISION.  (a)  The office of the attorney general shall establish an election integrity division to safeguard the integrity of elections, ensure public confidence in the electoral process, and investigate and prosecute election fraud offenses under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integrity division shall, using available funds or any funds appropriated to the division, investigate and prosecute, when appropriate, credible complaints of election fraud pursuant to authority granted under Chapter 273,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in this state shall assist the election integrity division in an investigation conducted under this section as requested by the division.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