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87R10518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election integrity division in the office of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402.0385.</w:t>
      </w:r>
      <w:r>
        <w:rPr>
          <w:u w:val="single"/>
        </w:rPr>
        <w:t xml:space="preserve"> </w:t>
      </w:r>
      <w:r>
        <w:rPr>
          <w:u w:val="single"/>
        </w:rPr>
        <w:t xml:space="preserve"> </w:t>
      </w:r>
      <w:r>
        <w:rPr>
          <w:u w:val="single"/>
        </w:rPr>
        <w:t xml:space="preserve">ELECTION INTEGRITY DIVISION.  (a) </w:t>
      </w:r>
      <w:r>
        <w:rPr>
          <w:u w:val="single"/>
        </w:rPr>
        <w:t xml:space="preserve"> </w:t>
      </w:r>
      <w:r>
        <w:rPr>
          <w:u w:val="single"/>
        </w:rPr>
        <w:t xml:space="preserve">The office of the attorney general shall establish an election integrity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integrity division shall, using available funds or any funds appropriated to the division and in support of the appropriate county or district attorney, investigate reports of election fraud or that a person has committed an offense under the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in this state shall assist the election integrity division in an investigation conducted under this section as requested by the division.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 investigation conducted by the division, the division may issue an administrative subpoena to a political subdivision of this state compelling: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information or documents;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attendance and testimony of a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