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1509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requirements for early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or personal identification card issued by the Department of Public Safety that has not expired or that expired no earlier than four years before the date of application;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70 years of age or older may use the number of a driver's license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or personal identification card issued by the Department of Public Safety that has not expired or that expired no earlier than four years before the date of presentation;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70 years of age or older may use the number of a driver's license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matches the information on the voter's application for voter registration under Section 13.002(c)(8)</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