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87R20791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1509</w:t>
      </w:r>
    </w:p>
    <w:p w:rsidR="003F3435" w:rsidRDefault="0032493E">
      <w:pPr>
        <w:ind w:firstLine="720"/>
        <w:jc w:val="both"/>
      </w:pPr>
      <w:r>
        <w:t xml:space="preserve">(Harris, Cain, Parker, Schofield)</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1509:</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C.S.S.B.</w:t>
      </w:r>
      <w:r xml:space="preserve">
        <w:t> </w:t>
      </w:r>
      <w:r>
        <w:t xml:space="preserve">No.</w:t>
      </w:r>
      <w:r xml:space="preserve">
        <w:t> </w:t>
      </w:r>
      <w:r>
        <w:t xml:space="preserve">1509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identification requirements for early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be in writing and signed by the applicant </w:t>
      </w:r>
      <w:r>
        <w:rPr>
          <w:u w:val="single"/>
        </w:rPr>
        <w:t xml:space="preserve">using ink on paper</w:t>
      </w:r>
      <w:r>
        <w:t xml:space="preserve">. An electronic signature </w:t>
      </w:r>
      <w:r>
        <w:rPr>
          <w:u w:val="single"/>
        </w:rPr>
        <w:t xml:space="preserve">or photocopied signature</w:t>
      </w:r>
      <w:r>
        <w:t xml:space="preserv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applicant's driver's license number or the number of a personal identification card issued by the Department of Public Safety;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applicant has not been issued a number described by Paragraph (A), the last four digits of the applicant's social security number;</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and</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a space for entering the information required under Section 84.002(a)(1-a);</w:t>
      </w:r>
      <w:r>
        <w:t xml:space="preserve">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information required under Section 84.002(a)(1-a) included on the application does not match the information on the applicant's application for voter registration under Section 13.002(c)(8), the clerk shall reject the application.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86.002, Election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carrier envelope must include a space that is hidden from view when the envelope is sealed for the voter to enter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the voter's unexpired driver's license or personal identification card issued by the Department of Public Safety;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voter has not been issued a number described by Subdivision (1), the last four digits of the voter's social security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 record associating an individual voter with a ballot may be created.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87.041(b),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required under Section 86.002(g) provided by the voter matches the information on the voter's application for voter registration under Section 13.002(c)(8)</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application to vote an early voting ballot by mail submitted on or after the effective date of this Act. </w:t>
      </w:r>
      <w:r>
        <w:t xml:space="preserve"> </w:t>
      </w:r>
      <w:r>
        <w:t xml:space="preserve">An application to vote an early voting ballot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