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87R10932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1509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identification requirements for early voting by mail; providing a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84.002, Election Code, is amended by amending Subsection (a) and adding Subsections (c), (d), (e), and (f)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 legible photograph or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form of photo identification listed in Section 63.0101(a);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form of identification listed in Section 63.0101(b) accompanied by a declaration of reasonable impediment as described in Section 63.001(i);</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the last four digits of the applicant's social security number or a statement that the applicant has not been issued a social security number;</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and</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requirement for identification prescribed by Subsection (a)(1-a) is not met, the voter may be provided an official ballot under Chapter 86 if the voter executes an affidavit declaring the voter cannot obtain identification due to a religious objection or an emergency. The affidavit must be in the same form as an affidavit used for a provisional ballot under Section 65.054(b)(2)(B) or (C).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subject to prosecution for perjury under Chapter 37, Penal Code, or Section 63.0013 for a false statement or false information on a document executed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63.0101(c) applies to documentation provided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legible photograph or copy of solely the side of a driver's license, election identification certificate, or personal identification card issued to a person by the Department of Public Safety displaying the person's photograph is sufficient to meet the requirement for identification prescribed by Subsection (a)(1-a)(A).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r>
        <w:rPr>
          <w:u w:val="single"/>
        </w:rPr>
        <w:t xml:space="preserve">;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statement informing the applicant of the requirement that the applicant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legible photograph or copy of identification described by Section 84.002(a)(1-a);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last four digits of the applicant's social security number or a statement that the applicant has not been issued a social security number under Section 84.002(a)(1-b);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forms that may be required to meet the identification requirements of Section 84.002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86.001, Election Code, is amended by adding Subsections (f) and (f-1)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application does not include a legible photograph or copy of one form of photo identification listed in Section 63.0101(a), one form of identification listed in Section 63.0101(b) accompanied by a declaration of reasonable impediment, or an affidavit of religious objection or emergency under Section 84.002(c), the clerk shall reject the application.</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If the applicant does not include the last four digits of the applicant's social security number or a statement that the applicant has not been issued a social security number, the clerk shall reject the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86.002,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ballot provided under this chapter must include a space for the voter to enter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Texas driver's license number or the number of a personal identification card issued by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voter has not been issued a number described by Subdivision (1), the last four digits of the voter's social security number;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by the voter that the voter has not been issued a number described by Subdivision (1) or (2).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87.041, Election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voter has provided the information required under Section 86.002(g) and the board is able to verify the identity of the voter with that information</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Before a ballot voted by mail on which is included a statement under Section 86.002(g)(3) may be accepted, the board shall verify that the voter did not include a driver's license number or number of a personal identification card issued by the Department of Public Safety or the last four digits of the voter's social security number with the voter's early voting ballot application. </w:t>
      </w:r>
      <w:r>
        <w:rPr>
          <w:u w:val="single"/>
        </w:rPr>
        <w:t xml:space="preserve"> </w:t>
      </w:r>
      <w:r>
        <w:rPr>
          <w:u w:val="single"/>
        </w:rPr>
        <w:t xml:space="preserve">If the information was provided with the voter's early voting ballot application, the board may not accept the ballot.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application to vote an early voting ballot by mail submitted on or after the effective date of this Act. 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