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1509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State Affairs; April</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6, Nays 3;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1509</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identification requirements for early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 that has not expired or that expired no earlier than four years before the date of application;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70 years of age or older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 that has not expired or that expired no earlier than four years before the date of presentation;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70 years of age or older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