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1522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Education; April</w:t>
      </w:r>
      <w:r xml:space="preserve">
        <w:t> </w:t>
      </w:r>
      <w:r>
        <w:t xml:space="preserve">13,</w:t>
      </w:r>
      <w:r xml:space="preserve">
        <w:t> </w:t>
      </w:r>
      <w:r>
        <w:t xml:space="preserve">2021, reported favorably by the following vote:</w:t>
      </w:r>
      <w:r>
        <w:t xml:space="preserve"> </w:t>
      </w:r>
      <w:r>
        <w:t xml:space="preserve"> </w:t>
      </w:r>
      <w:r>
        <w:t xml:space="preserve">Yeas 11,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adjustment of the average daily attendance of a school district on the basis of a calamity.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48.005(d),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 </w:t>
      </w:r>
      <w:r>
        <w:t xml:space="preserve"> </w:t>
      </w:r>
      <w:r>
        <w:rPr>
          <w:u w:val="single"/>
        </w:rPr>
        <w:t xml:space="preserve">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 </w:t>
      </w:r>
      <w:r>
        <w:rPr>
          <w:u w:val="single"/>
        </w:rPr>
        <w:t xml:space="preserve"> </w:t>
      </w:r>
      <w:r>
        <w:rPr>
          <w:u w:val="single"/>
        </w:rPr>
        <w:t xml:space="preserve">The commissioner may divide the adjustment between two consecutive school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