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1525</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governor's university research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62.161(1), Education Code, as added by Chapters 323 (S.B. 632) and 915 (H.B. 26), Acts of the 84th Legislature, Regular Session, 2015, is amended to read as follows:</w:t>
      </w:r>
    </w:p>
    <w:p w:rsidR="003F3435" w:rsidRDefault="0032493E">
      <w:pPr>
        <w:spacing w:line="480" w:lineRule="auto"/>
        <w:ind w:firstLine="1440"/>
        <w:jc w:val="both"/>
      </w:pPr>
      <w:r>
        <w:t xml:space="preserve">(1)</w:t>
      </w:r>
      <w:r xml:space="preserve">
        <w:t> </w:t>
      </w:r>
      <w:r xml:space="preserve">
        <w:t> </w:t>
      </w:r>
      <w:r>
        <w:t xml:space="preserve">"Distinguished researcher"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r>
        <w:t xml:space="preserve"> [</w:t>
      </w:r>
      <w:r>
        <w:rPr>
          <w:strike/>
        </w:rPr>
        <w:t xml:space="preserve">a</w:t>
      </w:r>
      <w:r>
        <w:t xml:space="preserve">] researcher who [</w:t>
      </w:r>
      <w:r>
        <w:rPr>
          <w:strike/>
        </w:rPr>
        <w:t xml:space="preserve">is</w:t>
      </w:r>
      <w: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(A)</w:t>
      </w:r>
      <w:r>
        <w:t xml:space="preserve">]</w:t>
      </w:r>
      <w:r xml:space="preserve">
        <w:t> </w:t>
      </w:r>
      <w:r xml:space="preserve">
        <w:t> </w:t>
      </w:r>
      <w:r>
        <w:t xml:space="preserve">a Nobel laureate; [</w:t>
      </w:r>
      <w:r>
        <w:rPr>
          <w:strike/>
        </w:rPr>
        <w:t xml:space="preserve">or</w:t>
      </w:r>
      <w: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r>
        <w:t xml:space="preserve"> [</w:t>
      </w:r>
      <w:r>
        <w:rPr>
          <w:strike/>
        </w:rPr>
        <w:t xml:space="preserve">(B)</w:t>
      </w:r>
      <w:r>
        <w:t xml:space="preserve">]</w:t>
      </w:r>
      <w:r xml:space="preserve">
        <w:t> </w:t>
      </w:r>
      <w:r xml:space="preserve">
        <w:t> </w:t>
      </w:r>
      <w:r>
        <w:t xml:space="preserve">a member of the National Academy of Sciences, the National Academy of Engineering, or the National Academy of Medicine, formerly known as the Institute of Medicine</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attained a highly prestigious national academic recognition, as defined by office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researchers who have attained the recognition described by Paragraph (A)(iii), as defined by office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62.162(b), Education Code, as added by Chapters 323 (S.B. 632) and 915 (H.B. 26), Acts of the 84th Legislature, Regular Session, 2015, is amended to read as follows:</w:t>
      </w:r>
    </w:p>
    <w:p w:rsidR="003F3435" w:rsidRDefault="0032493E">
      <w:pPr>
        <w:spacing w:line="480" w:lineRule="auto"/>
        <w:ind w:firstLine="720"/>
        <w:jc w:val="both"/>
      </w:pPr>
      <w:r>
        <w:t xml:space="preserve">(b)</w:t>
      </w:r>
      <w:r xml:space="preserve">
        <w:t> </w:t>
      </w:r>
      <w:r xml:space="preserve">
        <w:t> </w:t>
      </w:r>
      <w:r>
        <w:t xml:space="preserve">The office </w:t>
      </w:r>
      <w:r>
        <w:rPr>
          <w:u w:val="single"/>
        </w:rPr>
        <w:t xml:space="preserve">in consultation with the commissioner of higher education</w:t>
      </w:r>
      <w:r>
        <w:t xml:space="preserve"> may adopt any rules the office considers necessary to administer this subchapter.  </w:t>
      </w:r>
      <w:r>
        <w:rPr>
          <w:u w:val="single"/>
        </w:rPr>
        <w:t xml:space="preserve">The commissioner shall recommend to the office the types of national academic recognitions that are considered to be highly prestigious for purposes of determining which individuals or groups qualify as a "distinguished researcher" under Section 62.161.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62, Education Code, as added by Chapters 323 (S.B. 632) and 915 (H.B. 26), Acts of the 84th Legislature, Regular Session, 2015, is amended by adding Section 62.169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62.169.</w:t>
      </w:r>
      <w:r>
        <w:rPr>
          <w:u w:val="single"/>
        </w:rPr>
        <w:t xml:space="preserve"> </w:t>
      </w:r>
      <w:r>
        <w:rPr>
          <w:u w:val="single"/>
        </w:rPr>
        <w:t xml:space="preserve"> </w:t>
      </w:r>
      <w:r>
        <w:rPr>
          <w:u w:val="single"/>
        </w:rPr>
        <w:t xml:space="preserve">ADVISORY BOARD.  (a)</w:t>
      </w:r>
      <w:r>
        <w:rPr>
          <w:u w:val="single"/>
        </w:rPr>
        <w:t xml:space="preserve"> </w:t>
      </w:r>
      <w:r>
        <w:rPr>
          <w:u w:val="single"/>
        </w:rPr>
        <w:t xml:space="preserve"> </w:t>
      </w:r>
      <w:r>
        <w:rPr>
          <w:u w:val="single"/>
        </w:rPr>
        <w:t xml:space="preserve">The governor's university research initiative advisory board is established to assist the office with the review and evaluation of applications for funding of grant proposals under this subchapter.</w:t>
      </w:r>
      <w:r>
        <w:rPr>
          <w:u w:val="single"/>
        </w:rPr>
        <w:t xml:space="preserve"> </w:t>
      </w:r>
      <w:r>
        <w:rPr>
          <w:u w:val="single"/>
        </w:rPr>
        <w:t xml:space="preserve"> </w:t>
      </w:r>
      <w:r>
        <w:rPr>
          <w:u w:val="single"/>
        </w:rPr>
        <w:t xml:space="preserve">The advisory board shall make recommendations to the office for approval or disapproval of those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be composed of at least nine members appointed by the governor.</w:t>
      </w:r>
      <w:r>
        <w:rPr>
          <w:u w:val="single"/>
        </w:rPr>
        <w:t xml:space="preserve"> </w:t>
      </w:r>
      <w:r>
        <w:rPr>
          <w:u w:val="single"/>
        </w:rPr>
        <w:t xml:space="preserve"> </w:t>
      </w:r>
      <w:r>
        <w:rPr>
          <w:u w:val="single"/>
        </w:rPr>
        <w:t xml:space="preserve">Of the members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members, as nearly as possible, must have a background in finance;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one-third of the members, as nearly as possible, must be public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board member is not required to be a resident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62, Education Code, as added by Chapter 448 (H.B. 7),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grant application submitted to the Texas Economic Development and Tourism Office in the office of the governor on or after the effective date of this Act.  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