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87R3823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restricting the use of personally identifiable student information by an operator of a website, online service, online application, or mobile application used for a school purpose and providing an exemption from certain restrictions for a national assessment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32.155, Education Code, is amended to read as follows:</w:t>
      </w:r>
    </w:p>
    <w:p w:rsidR="003F3435" w:rsidRDefault="0032493E">
      <w:pPr>
        <w:spacing w:line="480" w:lineRule="auto"/>
        <w:ind w:firstLine="720"/>
        <w:jc w:val="both"/>
      </w:pPr>
      <w:r>
        <w:t xml:space="preserve">Sec.</w:t>
      </w:r>
      <w:r xml:space="preserve">
        <w:t> </w:t>
      </w:r>
      <w:r>
        <w:t xml:space="preserve">32.155.</w:t>
      </w:r>
      <w:r xml:space="preserve">
        <w:t> </w:t>
      </w:r>
      <w:r xml:space="preserve">
        <w:t> </w:t>
      </w:r>
      <w:r>
        <w:t xml:space="preserve">PROTECTION OF COVERED INFORMATION.  </w:t>
      </w:r>
      <w:r>
        <w:rPr>
          <w:u w:val="single"/>
        </w:rPr>
        <w:t xml:space="preserve">(a)</w:t>
      </w:r>
      <w:r>
        <w:t xml:space="preserve">  An operator must implement and maintain reasonable security procedures and practices designed to protect any covered information from unauthorized access, deletion, use, modification, or disclosure.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operator that has been approved by the agency or had a product adopted by the agency and possesses any covered information must use the unique identifier established by the Texas Student Data System (TSDS) or a successor data management system maintained by the agency for any account creation, data upload, data transmission, analysis, or reporting to mask all personally identifiable student information.  The operator shall adhere to a state-required student data sharing agreement that includes the use of an established unique identifier standard for all operators as prescribed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open-enrollment charter school, regional education service center, or other local education agency may require an operator that contracts directly with the entity to adhere to a state-required student data sharing agreement that includes the use of an established unique identifier standard for all operators as prescribed by the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national assessment provider who receives covered information from a student or from a school district or campus on behalf of a student is not required to comply with Subsection (b) or (c) if the provider receives the covered information solely to provide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employment, educational scholarships, financial aid, or postsecondary educational opportunities;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educational resources for middle school, junior high school, or high school students.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