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1531</w:t>
      </w:r>
    </w:p>
    <w:p w:rsidR="003F3435" w:rsidRDefault="0032493E">
      <w:pPr>
        <w:ind w:firstLine="720"/>
        <w:jc w:val="both"/>
      </w:pPr>
      <w:r>
        <w:t xml:space="preserve">(Turner of Tarrant)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formula funding for excess undergraduate credit hours at public institutions of higher education and to the tuition rate that may be charged for those credit hours.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54.014, Education Code, is amended by amending Subsection (a)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An institution of higher education may charge a resident undergraduate student tuition at a higher rate than the rate charged to other resident undergraduate students, not to exceed the rate charged to nonresident undergraduate students, if before the semester or other academic session begins the student has previously attempted a number of semester credit hours for courses taken at any institution of higher education while classified as a resident student for tuition purposes that exceeds [</w:t>
      </w:r>
      <w:r>
        <w:rPr>
          <w:strike/>
        </w:rPr>
        <w:t xml:space="preserve">by at least 30 hours</w:t>
      </w:r>
      <w:r>
        <w:t xml:space="preserve">] the number of semester credit hours required for completion of the degree program in which the student is enrolled </w:t>
      </w:r>
      <w:r>
        <w:rPr>
          <w:u w:val="single"/>
        </w:rPr>
        <w:t xml:space="preserve">by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associate degree program, 15 hours;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baccalaureate degree program, 30 hours</w:t>
      </w:r>
      <w:r>
        <w:t xml:space="preserve">.</w:t>
      </w:r>
    </w:p>
    <w:p w:rsidR="003F3435" w:rsidRDefault="0032493E">
      <w:pPr>
        <w:spacing w:line="480" w:lineRule="auto"/>
        <w:ind w:firstLine="720"/>
        <w:jc w:val="both"/>
      </w:pPr>
      <w:r>
        <w:rPr>
          <w:u w:val="single"/>
        </w:rPr>
        <w:t xml:space="preserve">(a-1)</w:t>
      </w:r>
      <w:r xml:space="preserve">
        <w:t> </w:t>
      </w:r>
      <w:r xml:space="preserve">
        <w:t> </w:t>
      </w:r>
      <w:r>
        <w:t xml:space="preserve">For purposes of </w:t>
      </w:r>
      <w:r>
        <w:rPr>
          <w:u w:val="single"/>
        </w:rPr>
        <w:t xml:space="preserve">Subsection (a)</w:t>
      </w:r>
      <w:r>
        <w:t xml:space="preserve"> [</w:t>
      </w:r>
      <w:r>
        <w:rPr>
          <w:strike/>
        </w:rPr>
        <w:t xml:space="preserve">this subsection</w:t>
      </w:r>
      <w:r>
        <w:t xml:space="preserve">], an undergraduate student who is not enrolled in a degree program is considered to be enrolled in a </w:t>
      </w:r>
      <w:r>
        <w:rPr>
          <w:u w:val="single"/>
        </w:rPr>
        <w:t xml:space="preserve">baccalaureate</w:t>
      </w:r>
      <w:r>
        <w:t xml:space="preserve"> degree program [</w:t>
      </w:r>
      <w:r>
        <w:rPr>
          <w:strike/>
        </w:rPr>
        <w:t xml:space="preserve">or programs requiring a minimum of 120 semester credit hours, including minors and double majors, and for completion of any certificate or other special program in which the student is also enrolled, including a program with a study-abroad component</w:t>
      </w:r>
      <w:r>
        <w:t xml:space="preserve">].</w:t>
      </w:r>
    </w:p>
    <w:p w:rsidR="003F3435" w:rsidRDefault="0032493E">
      <w:pPr>
        <w:spacing w:line="480" w:lineRule="auto"/>
        <w:ind w:firstLine="720"/>
        <w:jc w:val="both"/>
      </w:pPr>
      <w:r>
        <w:rPr>
          <w:u w:val="single"/>
        </w:rPr>
        <w:t xml:space="preserve">(a-2)</w:t>
      </w:r>
      <w:r xml:space="preserve">
        <w:t> </w:t>
      </w:r>
      <w:r xml:space="preserve">
        <w:t> </w:t>
      </w:r>
      <w:r>
        <w:t xml:space="preserve">An institution of higher education that charges students tuition at a higher rate under </w:t>
      </w:r>
      <w:r>
        <w:rPr>
          <w:u w:val="single"/>
        </w:rPr>
        <w:t xml:space="preserve">Subsection (a)</w:t>
      </w:r>
      <w:r>
        <w:t xml:space="preserve"> [</w:t>
      </w:r>
      <w:r>
        <w:rPr>
          <w:strike/>
        </w:rPr>
        <w:t xml:space="preserve">this subsection</w:t>
      </w:r>
      <w:r>
        <w:t xml:space="preserve">] may adopt a policy under which the institution exempts from the payment of that higher rate a student that is subject to the payment of the higher rate solely as a result of hardship as determined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61.0595(a)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In the formulas established under Section 61.059, the board may not include funding for semester credit hours earned by a resident undergraduate student who before the semester or other academic session begins has previously attempted a number of semester credit hours for courses taken at any institution of higher education while classified as a resident student for tuition purposes that exceeds [</w:t>
      </w:r>
      <w:r>
        <w:rPr>
          <w:strike/>
        </w:rPr>
        <w:t xml:space="preserve">by at least 30 hours</w:t>
      </w:r>
      <w:r>
        <w:t xml:space="preserve">] the number of semester credit hours required for completion of the degree program or programs in which the student is enrolled, including minors and double majors, and for completion of any certificate or other special program in which the student is also enrolled, including a program with a study-abroad component</w:t>
      </w:r>
      <w:r>
        <w:rPr>
          <w:u w:val="single"/>
        </w:rPr>
        <w:t xml:space="preserve">, by at least: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associate degree program, 15 hours;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baccalaureate degree program, 30 hours</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 an undergraduate student who is not enrolled in a degree program is considered to be enrolled in a </w:t>
      </w:r>
      <w:r>
        <w:rPr>
          <w:u w:val="single"/>
        </w:rPr>
        <w:t xml:space="preserve">baccalaureate</w:t>
      </w:r>
      <w:r>
        <w:t xml:space="preserve"> degree program [</w:t>
      </w:r>
      <w:r>
        <w:rPr>
          <w:strike/>
        </w:rPr>
        <w:t xml:space="preserve">requiring a minimum of 120 semester credit hours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54.014, Education Code, as amended by this Act, applies beginning with tuition charged for the 2023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 Education Code, as amended by this Act, applies beginning with funding recommendations made under Section 61.059, Education Code, for the state fiscal biennium beginning September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