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87R13922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inspection requirements for buyer's temporary tags for vehicles sold to nonresident buyers of certain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503.063, Transportation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may be issued and display a buyer's tag without satisfying the inspection requirements of Chapter 548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buyer of the vehicle is not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of purchase, is not located or required to be titled or registered in 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titled and registered in accordance with the laws of the buyer's state of residence;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inspected in accordance with the laws of the buyer's state of residence, if the laws of that state require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