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87R4732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1549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subject matter preference for certain cases in the County Criminal Court No. 6 of Tarrant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25.2223(l), Government Code, is amended to read as follows:</w:t>
      </w:r>
    </w:p>
    <w:p w:rsidR="003F3435" w:rsidRDefault="0032493E">
      <w:pPr>
        <w:spacing w:line="480" w:lineRule="auto"/>
        <w:ind w:firstLine="720"/>
        <w:jc w:val="both"/>
      </w:pPr>
      <w:r>
        <w:t xml:space="preserve">(l)</w:t>
      </w:r>
      <w:r xml:space="preserve">
        <w:t> </w:t>
      </w:r>
      <w:r xml:space="preserve">
        <w:t> </w:t>
      </w:r>
      <w:r>
        <w:t xml:space="preserve">The County Criminal Court No. 5 of Tarrant County </w:t>
      </w:r>
      <w:r>
        <w:rPr>
          <w:u w:val="single"/>
        </w:rPr>
        <w:t xml:space="preserve">and the County Criminal Court No. 6 of Tarrant County</w:t>
      </w:r>
      <w:r>
        <w:t xml:space="preserve"> shall give preference to cases brought under Title 5, Penal Code, involving family violence as defined by Section 71.004, Family Code, and cases brought under Sections 25.07, 25.072, and 42.072,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