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87R11420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numbering and signing of ballots by early voting clerks and deputy early voting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85.0311, Election Code, is amended to read as follows:</w:t>
      </w:r>
    </w:p>
    <w:p w:rsidR="003F3435" w:rsidRDefault="0032493E">
      <w:pPr>
        <w:spacing w:line="480" w:lineRule="auto"/>
        <w:ind w:firstLine="720"/>
        <w:jc w:val="both"/>
      </w:pPr>
      <w:r>
        <w:t xml:space="preserve">Sec.</w:t>
      </w:r>
      <w:r xml:space="preserve">
        <w:t> </w:t>
      </w:r>
      <w:r>
        <w:t xml:space="preserve">85.0311.</w:t>
      </w:r>
      <w:r xml:space="preserve">
        <w:t> </w:t>
      </w:r>
      <w:r xml:space="preserve">
        <w:t> </w:t>
      </w:r>
      <w:r>
        <w:rPr>
          <w:u w:val="single"/>
        </w:rPr>
        <w:t xml:space="preserve">DEPUTY</w:t>
      </w:r>
      <w:r>
        <w:t xml:space="preserve"> EARLY VOTING CLERK TO SIGN BALLOTS.  (a) The </w:t>
      </w:r>
      <w:r>
        <w:rPr>
          <w:u w:val="single"/>
        </w:rPr>
        <w:t xml:space="preserve">deputy</w:t>
      </w:r>
      <w:r>
        <w:t xml:space="preserve"> early voting clerk's </w:t>
      </w:r>
      <w:r>
        <w:rPr>
          <w:u w:val="single"/>
        </w:rPr>
        <w:t xml:space="preserve">signature or</w:t>
      </w:r>
      <w:r>
        <w:t xml:space="preserve"> initials shall be placed on the back of each ballot to be used at the polling place </w:t>
      </w:r>
      <w:r>
        <w:rPr>
          <w:u w:val="single"/>
        </w:rPr>
        <w:t xml:space="preserve">where the deputy early voting clerk accepts voters voting by personal appearance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deputy</w:t>
      </w:r>
      <w:r>
        <w:t xml:space="preserve"> early voting clerk </w:t>
      </w:r>
      <w:r>
        <w:rPr>
          <w:u w:val="single"/>
        </w:rPr>
        <w:t xml:space="preserve">at a polling place</w:t>
      </w:r>
      <w:r>
        <w:t xml:space="preserve"> shall enter the </w:t>
      </w:r>
      <w:r>
        <w:rPr>
          <w:u w:val="single"/>
        </w:rPr>
        <w:t xml:space="preserve">signature or</w:t>
      </w:r>
      <w:r>
        <w:t xml:space="preserve"> initials </w:t>
      </w:r>
      <w:r>
        <w:rPr>
          <w:u w:val="single"/>
        </w:rPr>
        <w:t xml:space="preserve">of the deputy early voting clerk</w:t>
      </w:r>
      <w:r>
        <w:t xml:space="preserve"> on each ballot [</w:t>
      </w:r>
      <w:r>
        <w:rPr>
          <w:strike/>
        </w:rPr>
        <w:t xml:space="preserve">or a deputy early voting clerk shall stamp a facsimile of the initials on each ballot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signing of ballots under this section need not be completed before the polls open, but an unsigned ballot may not be made available for selection by a voter.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122.001, Election Code, is amended by amending Subsection (c) and adding Subsections (f), (g), and (h) to read as follows:</w:t>
      </w:r>
    </w:p>
    <w:p w:rsidR="003F3435" w:rsidRDefault="0032493E">
      <w:pPr>
        <w:spacing w:line="480" w:lineRule="auto"/>
        <w:ind w:firstLine="720"/>
        <w:jc w:val="both"/>
      </w:pPr>
      <w:r>
        <w:t xml:space="preserve">(c)</w:t>
      </w:r>
      <w:r xml:space="preserve">
        <w:t> </w:t>
      </w:r>
      <w:r xml:space="preserve">
        <w:t> </w:t>
      </w:r>
      <w:r>
        <w:t xml:space="preserve">The secretary of state may prescribe additional standards for voting systems consistent with this title. The standards may apply to particular kinds of voting systems, to particular elements comprising a voting system, including operation procedures, or to voting systems generally</w:t>
      </w:r>
      <w:r>
        <w:rPr>
          <w:u w:val="single"/>
        </w:rPr>
        <w:t xml:space="preserve">, provided that the county or political subdivision providing the voting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demonstrate a specific inability to comply with a provision of this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applied to and received written approval from the secretary of state for waiver from this code 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election and election date to be affected;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inability to comply with a provision of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Waivers issued by the secretary of state under Subsection (c) must be addressed and requested separately by a county or political subdivision for each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attach the approval order to the approval request for each applicable election under Subsection (c) and retain it permanently on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Waivers granted under Subsection (c) must be posted on the Internet website of the requesting county or political subdivision not less than 60 days before the first day of the early voting period and must remain posted during the affected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62.008(b), Election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