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1575</w:t>
      </w:r>
    </w:p>
    <w:p w:rsidR="003F3435" w:rsidRDefault="0032493E">
      <w:pPr>
        <w:ind w:firstLine="720"/>
        <w:jc w:val="both"/>
      </w:pPr>
      <w:r>
        <w:t xml:space="preserve">(Oliverson, Johnson of Dallas, Hinojosa, Rose)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assessment and oversight of children placed by the Department of Family and Protective Services in a qualified residential treatment program and a study regarding residential treatment center placements.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263, Family Code, is amended by adding Section 263.00201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263.00201.</w:t>
      </w:r>
      <w:r>
        <w:rPr>
          <w:u w:val="single"/>
        </w:rPr>
        <w:t xml:space="preserve"> </w:t>
      </w:r>
      <w:r>
        <w:rPr>
          <w:u w:val="single"/>
        </w:rPr>
        <w:t xml:space="preserve"> </w:t>
      </w:r>
      <w:r>
        <w:rPr>
          <w:u w:val="single"/>
        </w:rPr>
        <w:t xml:space="preserve">REVIEW OF PLACEMENT IN QUALIFIED RESIDENTIAL TREATMENT PROGRAM.  (a) </w:t>
      </w:r>
      <w:r>
        <w:rPr>
          <w:u w:val="single"/>
        </w:rPr>
        <w:t xml:space="preserve"> </w:t>
      </w:r>
      <w:r>
        <w:rPr>
          <w:u w:val="single"/>
        </w:rPr>
        <w:t xml:space="preserve">In this section, "qualified residential treatment program"</w:t>
      </w:r>
      <w:r>
        <w:rPr>
          <w:u w:val="single"/>
        </w:rPr>
        <w:t xml:space="preserve"> </w:t>
      </w:r>
      <w:r>
        <w:rPr>
          <w:u w:val="single"/>
        </w:rPr>
        <w:t xml:space="preserve">has the meaning assigned by 42 U.S.C. Section 672(k)(4).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day after the date the department places a child in a qualified residential treatment program, a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any assessment, determination, and documentation made by a qualified individual in accordance with 42 U.S.C. Section 675a(c) regarding the child's placement;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the child's needs can be met through placement in a foster home and, if not,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placing the child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placement in a qualified residential treatment program is consistent with the short-term and long-term goals for the child, as specified in the child's permanency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disapprove the placement.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written documentation prepared for the review of the child's placement under this section and any documentation regarding the determination and approval or disapproval of the placement in a qualified residential treatment program by the court under Subsection (b) shall be included in and made part of the child's permanency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long as a child remains in a qualified residential treatment program, the department shall at the status review hearing and each permanency hearing held with respect to the child provide the court with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ongoing assessment of the strengths and needs of the child continues to support the determination that the needs of the child cannot be met through placement in a foster home;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placement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placement is consistent with the short-term  and long-term goals for the child, as specified in the child's permanency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documenting the specific treatment or service needs that will be met for the child in the placement and the length of time the child is expected to need the treatment or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documenting the efforts made by the department to prepare the child to return home or to be placed in a foster home or with a fit and willing relative, legal guardian, or adoptive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include the information required by Subsection (d) in any report the department is required to provide to the court before the hearing.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review of a child's placement in a qualified residential treatment program may be conducted through a remote proceeding. </w:t>
      </w:r>
      <w:r>
        <w:rPr>
          <w:u w:val="single"/>
        </w:rPr>
        <w:t xml:space="preserve"> </w:t>
      </w:r>
      <w:r>
        <w:rPr>
          <w:u w:val="single"/>
        </w:rPr>
        <w:t xml:space="preserve">For purposes of this subsection, "remote proceeding" means a proceeding before a court in which one or more of the participants, including a judge, party, attorney, witness, court reporter, child, or other individual, attends the proceeding remotely through the use of technology and the Internet.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264.018(a)(5), Family Code, is amended to read as follows:</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 placement in a qualified residential treatment program as that term is defined by 42 U.S.C. Section 672(k)(4); or</w:t>
      </w:r>
    </w:p>
    <w:p w:rsidR="003F3435" w:rsidRDefault="0032493E">
      <w:pPr>
        <w:spacing w:line="480" w:lineRule="auto"/>
        <w:ind w:firstLine="2160"/>
        <w:jc w:val="both"/>
      </w:pPr>
      <w:r>
        <w:rPr>
          <w:u w:val="single"/>
        </w:rP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264, Family Code, is amended by adding Section 264.1077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264.1077.</w:t>
      </w:r>
      <w:r>
        <w:rPr>
          <w:u w:val="single"/>
        </w:rPr>
        <w:t xml:space="preserve"> </w:t>
      </w:r>
      <w:r>
        <w:rPr>
          <w:u w:val="single"/>
        </w:rPr>
        <w:t xml:space="preserve"> </w:t>
      </w:r>
      <w:r>
        <w:rPr>
          <w:u w:val="single"/>
        </w:rPr>
        <w:t xml:space="preserve">STUDY REGARDING RESIDENTIAL TREATMENT CENTER PLACEMENT.  (a)  The Supreme Court of Texas Children's Commission, in collaboration with the department, shall establish and oversee a work group to examine the oversight of and best practices related to residential treatment center placements, including placements in qualified residential treatment programs as that term is defined by 42 U.S.C. Section 672(k)(4). </w:t>
      </w:r>
      <w:r>
        <w:rPr>
          <w:u w:val="single"/>
        </w:rPr>
        <w:t xml:space="preserve"> </w:t>
      </w:r>
      <w:r>
        <w:rPr>
          <w:u w:val="single"/>
        </w:rPr>
        <w:t xml:space="preserve">The work group shall consider topics and changes to current practices the work group determines necessary to ensure the appropriate use of and to improve the transition into and out of residential treatment center placements,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statutorily required judicial review of residential treatment center placements;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fiscal implications of additional judicial review for residential treatment center placements;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for improving the state's practices regarding the duration of residential treatment center placements, including best practices for transition planning and involving family and other relevant participants in preparing the child for a subsequent placement;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proposed statutory changes regarding appropriate judicial findings, evidence required to be submitted by the department, and recommendations for information to be gathered from the child's attorney or guardian ad litem;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model court orders determined to be appropriate for the legal requirements for a particular placement.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2022, the Supreme Court of Texas Children's Commission shall submit a report to the legislature regarding the findings and recommendations from the work group established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