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1578</w:t>
      </w:r>
    </w:p>
    <w:p w:rsidR="003F3435" w:rsidRDefault="0032493E">
      <w:pPr>
        <w:ind w:firstLine="720"/>
        <w:jc w:val="both"/>
      </w:pPr>
      <w:r>
        <w:t xml:space="preserve">(Frank)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opinions from medical professionals in making certain determinations relating to the abuse or neglect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261, Family Code, is amended by adding Section 261.30171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261.30171.</w:t>
      </w:r>
      <w:r>
        <w:rPr>
          <w:u w:val="single"/>
        </w:rPr>
        <w:t xml:space="preserve"> </w:t>
      </w:r>
      <w:r>
        <w:rPr>
          <w:u w:val="single"/>
        </w:rPr>
        <w:t xml:space="preserve"> </w:t>
      </w:r>
      <w:r>
        <w:rPr>
          <w:u w:val="single"/>
        </w:rPr>
        <w:t xml:space="preserve">FORENSIC ASSESSMENT CENTER NETWORK EVALUATION.  (a)</w:t>
      </w:r>
      <w:r>
        <w:rPr>
          <w:u w:val="single"/>
        </w:rPr>
        <w:t xml:space="preserve"> </w:t>
      </w:r>
      <w:r>
        <w:rPr>
          <w:u w:val="single"/>
        </w:rPr>
        <w:t xml:space="preserve"> </w:t>
      </w:r>
      <w:r>
        <w:rPr>
          <w:u w:val="single"/>
        </w:rPr>
        <w:t xml:space="preserve">In this section, "network" means the Forensic Assessment Center Network.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with the assistance of the Supreme Court of Texas Children's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the department's use of the network;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joint recommendations to improve: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evaluation of agreements between the department and the network;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best practices for using assessments provided by the network in connection with abuse and neglect investigations conducted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2022, the department shall prepare and submit to the legislature a written report containing the department's findings and recommendations under Subsection (b) and any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261.504,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making a determination whether the child is or has been a victim of abuse or neglect, the court may consider the opinion of a medical professional obtained by an individual against whom a protective order is sought.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262.102, Family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determination under this section that there is an immediate danger to the physical health or safety of a child or that the child has been a victim of neglect or sexual abuse may not be based solely on the opinion of a medical professional under contract with the Department of Family and Protective Services who did not conduct a physical examination of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262.104,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authorized representative of the Department of Family and Protective Services, a law enforcement officer, or a juvenile probation officer may not take possession of a child under Subsection (a) based solely on the opinion of a medical professional under contract with the Department of Family and Protective Services who did not conduct a physical examination of the child.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262.201, Family Code,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In making a determination whether there is an immediate danger to the physical health or safety of a child, the court may consider the opinion of a medical professional obtained by the child's parent, managing conservator, possessory conservator, guardian, caretaker, or custodian.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suit affecting the parent-child relationship filed on or after the effective date of this Act. </w:t>
      </w:r>
      <w:r>
        <w:t xml:space="preserve"> </w:t>
      </w:r>
      <w:r>
        <w:t xml:space="preserve">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