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1578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Health &amp; Human Services; April</w:t>
      </w:r>
      <w:r xml:space="preserve">
        <w:t> </w:t>
      </w:r>
      <w:r>
        <w:t xml:space="preserve">13,</w:t>
      </w:r>
      <w:r xml:space="preserve">
        <w:t> </w:t>
      </w:r>
      <w:r>
        <w:t xml:space="preserve">2021, reported favorably by the following vote:</w:t>
      </w:r>
      <w:r>
        <w:t xml:space="preserve"> </w:t>
      </w:r>
      <w:r>
        <w:t xml:space="preserve"> </w:t>
      </w:r>
      <w:r>
        <w:t xml:space="preserve">Yeas 9, Nays 0; April</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opinions from medical professionals in making certain determinations relating to the abuse or neglect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261, Family Code, is amended by adding Section 261.30171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261.30171.</w:t>
      </w:r>
      <w:r>
        <w:rPr>
          <w:u w:val="single"/>
        </w:rPr>
        <w:t xml:space="preserve"> </w:t>
      </w:r>
      <w:r>
        <w:rPr>
          <w:u w:val="single"/>
        </w:rPr>
        <w:t xml:space="preserve"> </w:t>
      </w:r>
      <w:r>
        <w:rPr>
          <w:u w:val="single"/>
        </w:rPr>
        <w:t xml:space="preserve">FORENSIC ASSESSMENT CENTER NETWORK EVALUATION.  (a)</w:t>
      </w:r>
      <w:r>
        <w:rPr>
          <w:u w:val="single"/>
        </w:rPr>
        <w:t xml:space="preserve"> </w:t>
      </w:r>
      <w:r>
        <w:rPr>
          <w:u w:val="single"/>
        </w:rPr>
        <w:t xml:space="preserve"> </w:t>
      </w:r>
      <w:r>
        <w:rPr>
          <w:u w:val="single"/>
        </w:rPr>
        <w:t xml:space="preserve">In this section, "network" means the Forensic Assessment Center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with the assistance of the Supreme Court of Texas Children's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the department's use of the network;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joint recommendations to improve: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evaluation of agreements between the department and the network;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best practices for using assessments provided by the network in connection with abuse and neglect investigations conducted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2022, the department shall prepare and submit to the legislature a written report containing the department's findings and recommendations under Subsection (b) and any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261.504,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making a determination whether the child is or has been a victim of abuse or neglect, the court may consider the opinion of a medical professional obtained by an individual against whom a protective order is sought.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262.102, Family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determination under this section that there is an immediate danger to the physical health or safety of a child or that the child has been a victim of neglect or sexual abuse may not be based solely on the opinion of a medical professional under contract with the Department of Family and Protective Services who did not conduct a physical examination of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262.104,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authorized representative of the Department of Family and Protective Services, a law enforcement officer, or a juvenile probation officer may not take possession of a child under Subsection (a) based solely on the opinion of a medical professional under contract with the Department of Family and Protective Services who did not conduct a physical examination of the child.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262.201, Family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In making a determination whether there is an immediate danger to the physical health or safety of a child, the court may consider the opinion of a medical professional obtained by the child's parent, managing conservator, possessory conservator, guardian, caretaker, or custodian.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suit affecting the parent-child relationship filed on or after the effective date of this Act. </w:t>
      </w:r>
      <w:r>
        <w:t xml:space="preserve"> </w:t>
      </w:r>
      <w:r>
        <w:t xml:space="preserve">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