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1585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the designation of a property as a historic landmark and the inclusion of a property in a historic district by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211.0165, Local Government Code, is amended to read as follows:</w:t>
      </w:r>
    </w:p>
    <w:p w:rsidR="003F3435" w:rsidRDefault="0032493E">
      <w:pPr>
        <w:spacing w:line="480" w:lineRule="auto"/>
        <w:ind w:firstLine="720"/>
        <w:jc w:val="both"/>
      </w:pPr>
      <w:r>
        <w:t xml:space="preserve">Sec.</w:t>
      </w:r>
      <w:r xml:space="preserve">
        <w:t> </w:t>
      </w:r>
      <w:r>
        <w:t xml:space="preserve">211.0165.</w:t>
      </w:r>
      <w:r xml:space="preserve">
        <w:t> </w:t>
      </w:r>
      <w:r xml:space="preserve">
        <w:t> </w:t>
      </w:r>
      <w:r>
        <w:t xml:space="preserve">DESIGNATION OF HISTORIC LANDMARK </w:t>
      </w:r>
      <w:r>
        <w:rPr>
          <w:u w:val="single"/>
        </w:rPr>
        <w:t xml:space="preserve">OR DISTRICT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211.0165, Local Government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municipality that has established a process for designating places or areas of historical, cultural, or architectural importance and significance through the adoption of zoning regulations or zoning district boundaries may not designate a property as a local historic landmark </w:t>
      </w:r>
      <w:r>
        <w:rPr>
          <w:u w:val="single"/>
        </w:rPr>
        <w:t xml:space="preserve">or include a property within the boundaries of a local historic district</w:t>
      </w:r>
      <w:r>
        <w:t xml:space="preserve"> unless:</w:t>
      </w:r>
    </w:p>
    <w:p w:rsidR="003F3435" w:rsidRDefault="0032493E">
      <w:pPr>
        <w:spacing w:line="480" w:lineRule="auto"/>
        <w:ind w:firstLine="1440"/>
        <w:jc w:val="both"/>
      </w:pPr>
      <w:r>
        <w:t xml:space="preserve">(1)</w:t>
      </w:r>
      <w:r xml:space="preserve">
        <w:t> </w:t>
      </w:r>
      <w:r xml:space="preserve">
        <w:t> </w:t>
      </w:r>
      <w:r>
        <w:t xml:space="preserve">the owner of the property consents to the designation </w:t>
      </w:r>
      <w:r>
        <w:rPr>
          <w:u w:val="single"/>
        </w:rPr>
        <w:t xml:space="preserve">or inclusion</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if the owner does not consent,</w:t>
      </w:r>
      <w:r>
        <w:t xml:space="preserve"> the designation </w:t>
      </w:r>
      <w:r>
        <w:rPr>
          <w:u w:val="single"/>
        </w:rPr>
        <w:t xml:space="preserve">or inclusion of the owner's property</w:t>
      </w:r>
      <w:r>
        <w:t xml:space="preserve"> is approved by a three-fourths vote of:</w:t>
      </w:r>
    </w:p>
    <w:p w:rsidR="003F3435" w:rsidRDefault="0032493E">
      <w:pPr>
        <w:spacing w:line="480" w:lineRule="auto"/>
        <w:ind w:firstLine="2160"/>
        <w:jc w:val="both"/>
      </w:pPr>
      <w:r>
        <w:t xml:space="preserve">(A)</w:t>
      </w:r>
      <w:r xml:space="preserve">
        <w:t> </w:t>
      </w:r>
      <w:r xml:space="preserve">
        <w:t> </w:t>
      </w:r>
      <w:r>
        <w:t xml:space="preserve">the governing body of the municipality; and</w:t>
      </w:r>
    </w:p>
    <w:p w:rsidR="003F3435" w:rsidRDefault="0032493E">
      <w:pPr>
        <w:spacing w:line="480" w:lineRule="auto"/>
        <w:ind w:firstLine="2160"/>
        <w:jc w:val="both"/>
      </w:pPr>
      <w:r>
        <w:t xml:space="preserve">(B)</w:t>
      </w:r>
      <w:r xml:space="preserve">
        <w:t> </w:t>
      </w:r>
      <w:r xml:space="preserve">
        <w:t> </w:t>
      </w:r>
      <w:r>
        <w:t xml:space="preserve">the zoning, planning, or historical commission of the municipality, if any.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municipality has more than one commission described by Subsection (a)(2)(B), the municipality shall designate one of those commissions as the entity with exclusive authority to approve the designations of properties as local historic landmarks and the inclusion of properties in a local historic district under that paragraph.</w:t>
      </w:r>
    </w:p>
    <w:p w:rsidR="003F3435" w:rsidRDefault="0032493E">
      <w:pPr>
        <w:spacing w:line="480" w:lineRule="auto"/>
        <w:ind w:firstLine="720"/>
        <w:jc w:val="both"/>
      </w:pPr>
      <w:r>
        <w:t xml:space="preserve">(b)</w:t>
      </w:r>
      <w:r xml:space="preserve">
        <w:t> </w:t>
      </w:r>
      <w:r xml:space="preserve">
        <w:t> </w:t>
      </w:r>
      <w:r>
        <w:t xml:space="preserve">If the property is owned by an organization that qualifies as a religious organization under Section 11.20, Tax Code, the municipality may designate the property as a local historic landmark </w:t>
      </w:r>
      <w:r>
        <w:rPr>
          <w:u w:val="single"/>
        </w:rPr>
        <w:t xml:space="preserve">or include the property in a local historic district</w:t>
      </w:r>
      <w:r>
        <w:t xml:space="preserve"> only if the organization consents to the designation </w:t>
      </w:r>
      <w:r>
        <w:rPr>
          <w:u w:val="single"/>
        </w:rPr>
        <w:t xml:space="preserve">or inclusion</w:t>
      </w:r>
      <w:r>
        <w:t xml:space="preserve">.</w:t>
      </w:r>
    </w:p>
    <w:p w:rsidR="003F3435" w:rsidRDefault="0032493E">
      <w:pPr>
        <w:spacing w:line="480" w:lineRule="auto"/>
        <w:ind w:firstLine="720"/>
        <w:jc w:val="both"/>
      </w:pPr>
      <w:r>
        <w:t xml:space="preserve">(c)</w:t>
      </w:r>
      <w:r xml:space="preserve">
        <w:t> </w:t>
      </w:r>
      <w:r xml:space="preserve">
        <w:t> </w:t>
      </w:r>
      <w:r>
        <w:t xml:space="preserve">The municipality must provide the property owner a statement that describes the impact that a historic designation </w:t>
      </w:r>
      <w:r>
        <w:rPr>
          <w:u w:val="single"/>
        </w:rPr>
        <w:t xml:space="preserve">or inclusion in a local historic district</w:t>
      </w:r>
      <w:r>
        <w:t xml:space="preserve"> of the owner's property may have on the owner and the owner's property.  The municipality must provide the statement to the owner not later than the 15th day before the date of the initial hearing on the historic designation </w:t>
      </w:r>
      <w:r>
        <w:rPr>
          <w:u w:val="single"/>
        </w:rPr>
        <w:t xml:space="preserve">or inclusion in a local historic district</w:t>
      </w:r>
      <w:r>
        <w:t xml:space="preserve"> of the property of:</w:t>
      </w:r>
    </w:p>
    <w:p w:rsidR="003F3435" w:rsidRDefault="0032493E">
      <w:pPr>
        <w:spacing w:line="480" w:lineRule="auto"/>
        <w:ind w:firstLine="1440"/>
        <w:jc w:val="both"/>
      </w:pPr>
      <w:r>
        <w:t xml:space="preserve">(1)</w:t>
      </w:r>
      <w:r xml:space="preserve">
        <w:t> </w:t>
      </w:r>
      <w:r xml:space="preserve">
        <w:t> </w:t>
      </w:r>
      <w:r>
        <w:t xml:space="preserve">the zoning, planning, or historical commission, if any; or</w:t>
      </w:r>
    </w:p>
    <w:p w:rsidR="003F3435" w:rsidRDefault="0032493E">
      <w:pPr>
        <w:spacing w:line="480" w:lineRule="auto"/>
        <w:ind w:firstLine="1440"/>
        <w:jc w:val="both"/>
      </w:pPr>
      <w:r>
        <w:t xml:space="preserve">(2)</w:t>
      </w:r>
      <w:r xml:space="preserve">
        <w:t> </w:t>
      </w:r>
      <w:r xml:space="preserve">
        <w:t> </w:t>
      </w:r>
      <w:r>
        <w:t xml:space="preserve">the governing body of the municipality.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211.0165, Local Government Code, as amended by this Act, applies only to a proposal to include a property in a historic district or to designate a property as a local historic landmark made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