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1590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24,</w:t>
      </w:r>
      <w:r xml:space="preserve">
        <w:t> </w:t>
      </w:r>
      <w:r>
        <w:t xml:space="preserve">2021, read first time and referred to Committee on Education;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2;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rules by the State Board for Educator Certification regarding virtual observation options for field-based experiences and internships required for educator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21.051(f),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board shall propose rules providing flexible options for persons for any field-based experience or internship required for certification</w:t>
      </w:r>
      <w:r>
        <w:rPr>
          <w:u w:val="single"/>
        </w:rPr>
        <w:t xml:space="preserve">, including options for candidate observations to occur in virtual settings that are equivalent in rigor to in-person options for observation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