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87R10512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Lucio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corporal punishment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37.0011, Education Code, is amended by amending Subsections (b) and (c)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the board of trustees of an independent school district adopts a policy under Section 37.001(a)(8) under which corporal punishment is permitted as a method of student discipline, a district educator may </w:t>
      </w:r>
      <w:r>
        <w:rPr>
          <w:u w:val="single"/>
        </w:rPr>
        <w:t xml:space="preserve">not</w:t>
      </w:r>
      <w:r>
        <w:t xml:space="preserve"> use corporal punishment to discipline a student unless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student's parent or guardian or other person having lawful control over the student has previously provided a written, signed statement </w:t>
      </w:r>
      <w:r>
        <w:rPr>
          <w:u w:val="single"/>
        </w:rPr>
        <w:t xml:space="preserve">permitting</w:t>
      </w:r>
      <w:r>
        <w:t xml:space="preserve"> [</w:t>
      </w:r>
      <w:r>
        <w:rPr>
          <w:strike/>
        </w:rPr>
        <w:t xml:space="preserve">prohibiting</w:t>
      </w:r>
      <w:r>
        <w:t xml:space="preserve">] the use of corporal punishment as a method of student discipline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student receives special education services under Subchapter A, Chapter 29, the use of corporal punishment is authorized under the student's individualized education program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To </w:t>
      </w:r>
      <w:r>
        <w:rPr>
          <w:u w:val="single"/>
        </w:rPr>
        <w:t xml:space="preserve">permit</w:t>
      </w:r>
      <w:r>
        <w:t xml:space="preserve"> [</w:t>
      </w:r>
      <w:r>
        <w:rPr>
          <w:strike/>
        </w:rPr>
        <w:t xml:space="preserve">prohibit</w:t>
      </w:r>
      <w:r>
        <w:t xml:space="preserve">] the use of corporal punishment as a method of student discipline, each school year a student's parent or guardian or other person having lawful control over the student must provide a separate written, signed statement to the board of trustees of the school district in the manner established by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shall report through the district's Public Education Information Management System (PEIMS):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board of trustees adopted a policy under Section 37.001(a)(8) under which corporal punishment is permitted as a method of student discipline;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description, including the manner and circumstances, of each use of corporal punishment as a method of student discipline by a district educator under Subsection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2021-2022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