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an individual's name is added to the central child abuse or neglect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the department may not add to the central registry maintained under this section the name of an individual found by the department to have abused or neglected a child unless the department's finding is sustained by an administrative law judge at an administrative hearing before the State Office of Administrative Hearings under Section 261.0021.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add the name of an individual to the central registry maintained under this section without an administrative hearing under Section 261.0021 if in a civil, criminal, administrative, or juvenile proceeding in which the allegations of abuse or neglect are at issue, a court finds the individual abused or neglected a child.</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commissioner shall adopt rules necessary to carry out this section. 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 the date the department receives notice that a finding of abuse and neglect against the person is overturned in:</w:t>
      </w:r>
    </w:p>
    <w:p w:rsidR="003F3435" w:rsidRDefault="0032493E">
      <w:pPr>
        <w:spacing w:line="480" w:lineRule="auto"/>
        <w:ind w:firstLine="2160"/>
        <w:jc w:val="both"/>
      </w:pPr>
      <w:r>
        <w:t xml:space="preserve">(A)</w:t>
      </w:r>
      <w:r xml:space="preserve">
        <w:t> </w:t>
      </w:r>
      <w:r xml:space="preserve">
        <w:t> </w:t>
      </w:r>
      <w:r>
        <w:t xml:space="preserve">an administrative review or an appeal of the review conducted under Section 261.309(c);</w:t>
      </w:r>
    </w:p>
    <w:p w:rsidR="003F3435" w:rsidRDefault="0032493E">
      <w:pPr>
        <w:spacing w:line="480" w:lineRule="auto"/>
        <w:ind w:firstLine="2160"/>
        <w:jc w:val="both"/>
      </w:pPr>
      <w:r>
        <w:t xml:space="preserve">(B)</w:t>
      </w:r>
      <w:r xml:space="preserve">
        <w:t> </w:t>
      </w:r>
      <w:r xml:space="preserve">
        <w:t> </w:t>
      </w:r>
      <w:r>
        <w:t xml:space="preserve">a review or an appeal of the review conducted by the office of consumer affairs of the department; or</w:t>
      </w:r>
    </w:p>
    <w:p w:rsidR="003F3435" w:rsidRDefault="0032493E">
      <w:pPr>
        <w:spacing w:line="480" w:lineRule="auto"/>
        <w:ind w:firstLine="2160"/>
        <w:jc w:val="both"/>
      </w:pPr>
      <w:r>
        <w:t xml:space="preserve">(C)</w:t>
      </w:r>
      <w:r xml:space="preserve">
        <w:t> </w:t>
      </w:r>
      <w:r xml:space="preserve">
        <w:t> </w:t>
      </w:r>
      <w:r>
        <w:t xml:space="preserve">a hearing or an appeal conducted by the State Office of Administrative Hearings;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261, Family Code, is amended by adding Sections 261.0021 and 261.0022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261.0021.</w:t>
      </w:r>
      <w:r>
        <w:rPr>
          <w:u w:val="single"/>
        </w:rPr>
        <w:t xml:space="preserve"> </w:t>
      </w:r>
      <w:r>
        <w:rPr>
          <w:u w:val="single"/>
        </w:rPr>
        <w:t xml:space="preserve"> </w:t>
      </w:r>
      <w:r>
        <w:rPr>
          <w:u w:val="single"/>
        </w:rPr>
        <w:t xml:space="preserve">PROCEDURES FOR ADDING ALLEGED OFFENDERS TO CENTRAL REGISTRY; ADMINISTRATIVE HEARING. (a) Not later than the 14th day after the date the department makes a finding that an individual abused or neglected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request for a hearing to the State Office of Administrative Hearings;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individual that the department intends to add the individual's name and information regarding the reported case of abuse or neglect to the central registry maintained under Section 261.002.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statement of the specific allegations that will be added to the central registry,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alleged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injury or harm alleged to have resulted from the abuse or neglect;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report of abuse or neglect was made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consequences of being listed in the central registry, including any possible negative impact on the individual's ability to obtain employment or certain licenses and to have future contact with children, including any limitation on volunteering or involvement in school activities;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time the individual's name may be included in the registry;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information that will be added to the registry;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confirmation that the department has requested a hearing before the State Office of Administrative Hearings to review the department's findings;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contact information for the State Office of Administrative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request for a hearing from the department regarding its intention to list an alleged offender in the central registry, the State Office of Administrative Hearings shall contact the parties to schedule a date for the hearing.  The hearing shall be held not later than the 60th day after the date the department issues its findings.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alleged offender has the right to be represented by an attorney at the hearing.  If the alleged offender is indigent the State Office of Administrative Hearings shall appoint an attorney to represent the alleged offender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hearing, the department shall provide the alleged offender with the department's complete investigative file and any exculpatory evidence the department possesses or controls.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the alleged offender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sworn evidence, law, or rules related to the allegations;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subpoena witnesses, cross-examine the department's witnesses, introduce evidence, object to evidence introduced by the department, and make an opening and a closing argument.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date the hearing concludes, the presiding administrative law judge shall enter an order containing the judge's written findings of fact and conclusions of law.  The burden of proof is on the department to establish by a preponderance of the evidence that the alleged offender abused or neglected the child.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presiding administrative law judge enters an order under Subsection (g) that sustains the department's findings, the department shall enter the alleged offender's information into the central registry. The department shall maintain the information in the registry for a period proportionate to the severity of the offense. The department may not retain the information in the registry after the 10th anniversary of the date the abuse or neglect occurred.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presiding administrative law judge enters an order under Subsection (g) that does not sustain the department's findings, the judge shall order the department to amend the department's findings accordingly and the department may not enter the allegations into the central registry.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hearing under this section is a contested case under Chapter 2001, Government Code, and the administrative law judge's decision is subject to judicial review as provided by that chapter. The district court with jurisdiction over child protection cases in the county in which the alleged abuse or neglect occurred has jurisdiction to review the administrative law judge's decision.  A party may file a motion to transfer the judicial review case to a district court with jurisdiction over child protection cases in another county.  The district court, for good cause shown, may grant the motion to transfer.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may not add an alleged offender to the central registry or release information to any third party until all appeals are either exhausted or waived.</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Texas Rules of Civil Procedure apply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261.0022.</w:t>
      </w:r>
      <w:r>
        <w:rPr>
          <w:u w:val="single"/>
        </w:rPr>
        <w:t xml:space="preserve"> </w:t>
      </w:r>
      <w:r>
        <w:rPr>
          <w:u w:val="single"/>
        </w:rPr>
        <w:t xml:space="preserve"> </w:t>
      </w:r>
      <w:r>
        <w:rPr>
          <w:u w:val="single"/>
        </w:rPr>
        <w:t xml:space="preserve">PROCEDURES FOR REMOVING ALLEGED OFFENDER FROM CENTRAL REGISTRY.  (a) An individual listed in the central registry maintained under Section 261.002 may request to have the individual's name and information removed from the registry by submitting a written request to the State Office of Administrative Hearings accompanied by an affidavit sworn to by a person with personal knowledge stating facts sufficient to show there is good cause for a hearing on the issue of whether the individual abused or neglected a child.  Good cause for a hearing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newly discovered evidence that a substantiated report of child abuse or neglect is inaccurate;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no longer poses a risk;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significant public purpose is served by continuing to list the individual in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for the affidavit required by Subsection (a), a written request to remove information from the central registry submitted under this section may be in any form.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hearing is held under this section, the department may remove from the central registry the name and information of an individual listed in the registry.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hearing requested under this section shall be conducted in the same manner as a hearing conducted under Section 261.0021.</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is listed in the central registry may not request to have the information removed from the registry before the second anniversary of the date the information is added to the registry.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an individual listed in the central registry on September 1, 2021, may request to have the individual's name and information removed from the registry as provided by this section.  This subsection expires September 1,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whose request to remove information from the central registry under this section is denied may not make a subsequent request to have the information removed from the registry before the second anniversary of the date the request for removal is denied.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Rules of Civil Procedure apply to a proceeding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261.103,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or other entity receiving a report of abuse or neglect that is not substantiated in the manner described by Section 261.002(a-2) or as provided by Section 261.0021 shall maintain information relating to the report until the second anniversary of the date the department or other entity receives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by amending Section 261.002, Family Code, and adding Section 261.0021, Family Code, apply only to a finding that an individual abused or neglected a child made by the Department of Family and Protective Services on or after the effective date of this Act.  A finding made by the department before that date is governed by the law in effect on the date the finding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