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1605</w:t>
      </w:r>
    </w:p>
    <w:p w:rsidR="003F3435" w:rsidRDefault="0032493E">
      <w:pPr>
        <w:ind w:firstLine="720"/>
        <w:jc w:val="both"/>
      </w:pPr>
      <w:r>
        <w:t xml:space="preserve">(Bonnen)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1605:</w:t>
      </w: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C.S.S.B.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the United States of America the amount payable under the settlement agreement dated December 20, 2019, entered into between the United States of America, acting through the United States Department of Justice and on behalf of the United States Department of Agriculture, and the Texas Health and Human Services Commission regarding civil claims arising from the payment of accuracy performance bonuses and reimbursement of administrative quality control costs for the Supplemental Nutrition Assistance Program.</w:t>
      </w:r>
    </w:p>
    <w:p w:rsidR="003F3435" w:rsidRDefault="0032493E">
      <w:pPr>
        <w:spacing w:line="480" w:lineRule="auto"/>
        <w:jc w:val="right"/>
      </w:pPr>
      <w:r>
        <w:t xml:space="preserve">$15,294,360.00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corporations, or other entities named or claim numbers identified in this Act, in an amount not to exceed the amount set opposite their respective names or claim numbers and shall mail or deliver to each of the individuals, firms, corporations, or other entities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