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2021S0138-1  03/02/21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emergency generators or other power sources in nursing facilities and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EMERGENCY GENERATOR OR OTHER POWER SOURCE.  Each nursing facility licensed under this chapter shall ensure that the facility is equipped with an operational emergency generator or comparable emergency power source and a sufficient amount of fuel to operate the generator or power source and maintain the air temperature in the facility at not less than 68 degrees and not more than 81 degrees Fahrenheit for a minimum of 72 hours during a power outage.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EMERGENCY GENERATOR OR OTHER POWER SOURCE.  Each assisted living facility licensed under this chapter shall ensure that the facility is equipped with an operational emergency generator or comparable emergency power source and a sufficient amount of fuel to operate the generator or power source and maintain the air temperature in the facility at not less than 68 degrees and not more than 81 degrees Fahrenheit for a minimum of 72 hours during a power outage.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242.053 and 247.072,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