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in-depth evaluations and reports on certain investments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801, Government Code, is amended by adding Section 801.2035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801.2035.</w:t>
      </w:r>
      <w:r>
        <w:rPr>
          <w:u w:val="single"/>
        </w:rPr>
        <w:t xml:space="preserve"> </w:t>
      </w:r>
      <w:r>
        <w:rPr>
          <w:u w:val="single"/>
        </w:rPr>
        <w:t xml:space="preserve"> </w:t>
      </w:r>
      <w:r>
        <w:rPr>
          <w:u w:val="single"/>
        </w:rPr>
        <w:t xml:space="preserve">IN-DEPTH EVALUATION AND LEGISLATIVE REPORT ON CERTAIN TEACHER RETIREMENT SYSTEM OF TEXAS INVESTMENTS.  (a)  In this section, "retirement system" means the Teacher Retirement System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and at the direction of the legislative committees in either or both houses of the legislature with primary jurisdiction over public retirement systems,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in-depth evaluation of specific securities in which any assets of the Teacher Retirement System of Texas are invested, including any interest held by the retirement system in a limited partnership or investment contract, that either or both committees determine appropriate for further evaluation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report, including confidential information as directed, to the requesting committee or committees, as applicable, of the evaluation completed by the board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retirement system shall provide the information requested under this section, including confidential information as directed, as soon as practicable after receiving the request.  The board shall prescribe the form and manner by which the information must be submitted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disclosure of information under this section to the board does not waive or affect the confidentiality of the information for purposes of state or federal law or waive the right to assert exceptions to required disclosure of the information in the future.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body of the retirement system may require the individual requesting the information on behalf of the board, the requesting legislative committee or committees, as applicable, and the members or employees of the board and legislative committee or committees, as applicable, who will view or handle information that is received under this section and that is confidential under law to sign a confidentiality agreement that covers the agreement and requires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not be disclosed outside the board and requesting legislative committee or committees, as applicable, or within the board and committee or committees, as applicable, for purposes other than the purpose for which it was received;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be labeled as confidential;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be kept securely;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copies made of the information or the notes taken from the information that implicate the confidential nature of the information be controlled, with all copies or notes that are not destroyed or returned to the retirement system remaining confidential and subject to the confidentiality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evaluation or report prepared under this section is not subject to disclosure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