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87R837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control of certain local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810, Government Code, is amended by adding Section 810.0015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810.0015.</w:t>
      </w:r>
      <w:r>
        <w:rPr>
          <w:u w:val="single"/>
        </w:rPr>
        <w:t xml:space="preserve"> </w:t>
      </w:r>
      <w:r>
        <w:rPr>
          <w:u w:val="single"/>
        </w:rPr>
        <w:t xml:space="preserve"> </w:t>
      </w:r>
      <w:r>
        <w:rPr>
          <w:u w:val="single"/>
        </w:rPr>
        <w:t xml:space="preserve">MUNICIPAL CONTROL OF RETIREMENT SYSTEM PROVISIONS.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"Hybrid retirement plan" means a retirement plan that combines elements of a defined benefit plan, a defined contribution plan, or an individual retirement savings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retirement system" has the meaning assigned by Section 802.001.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Sections 66 and 67, Article XVI, Texas Constitution, and notwithstanding any other law, a municipality that is the sponsoring authority of a public retirement system that was created under and is governed by a state statute, but is not a part of a statewide retirement system, may adopt by ordinance or resolution, as applicable, provisions that supplement or supersede the operative provisions of the public retirement system's governing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Provisions adopted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apply only to a person who becomes eligible for membership in the public retirement system after December 31,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Subsections (d), (e), and (f), create a defined contribution plan, hybrid retirement plan, or other alternative retirement plan instead of a defined benefit plan or other retirement plan required or authorized under the system's governing statute;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benefits, participation, or eligibility requirements of the system;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source or amount of funding for the system;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administration of the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defined contribution plan, hybrid retirement plan, or other alternative retirement plan created under Subsection (b) must be funded 100 percent by the municipality not later than the 180th day after the last day of the municipality's fiscal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Contributions by a person described by Subsection (c)(1) to a plan described by Subsection (d) must be deposited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trustees of a retirement plan for which the person would have been eligible for participation in but for the municipality's action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custodian of an individual retirement account designated by the person.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not retain custody of contributions made under Subsection (e) or determine the manner in which the contributions are invested.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and a municipal ordinance or resolution adopted by the governing body of the sponsoring municipality of a public retirement system under Section 810.0015(b), Government Code, as added by this Act, prevail over another Act of the 87th Legislature, Regular Session, 2021, relating to a public retirement system subject to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