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87R10645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to begin a county fire code inspection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233.064, Local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 the</w:t>
      </w:r>
      <w:r>
        <w:t xml:space="preserve"> [</w:t>
      </w:r>
      <w:r>
        <w:rPr>
          <w:strike/>
        </w:rPr>
        <w:t xml:space="preserve">The</w:t>
      </w:r>
      <w:r>
        <w:t xml:space="preserve">] county shall begin the inspection of the building within five business days after the date of the receipt of the written inspection request. If an inspection is properly requested and the county does not begin the inspection within the time permitted by this subsection, the building that is the subject of the request is considered approved for the purposes of this subchapter.</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county with a population of more than 3.3 million shall begin the inspection of the building within 10 business days after the date of receipt of the written inspection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