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87R12539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1631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documentation of child abuse;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261, Family Code, is amended by adding Section 261.112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261.112.</w:t>
      </w:r>
      <w:r>
        <w:rPr>
          <w:u w:val="single"/>
        </w:rPr>
        <w:t xml:space="preserve"> </w:t>
      </w:r>
      <w:r>
        <w:rPr>
          <w:u w:val="single"/>
        </w:rPr>
        <w:t xml:space="preserve"> </w:t>
      </w:r>
      <w:r>
        <w:rPr>
          <w:u w:val="single"/>
        </w:rPr>
        <w:t xml:space="preserve">DOCUMENTING ABUSE; CRIMINAL PENALTY. (a) A person commits an offense if the person, during a supervised visit with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another person from documenting, including photographing, suspected abuse of the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interferes with another person who is documenting, including photographing, suspected abuse of the child.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or the other law.</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that law is continued in effect for that purpose.  For the purposes of this section, an offense is committed before the effective date of this Act if any element of the offense occurs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