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87R365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requirements for a public elective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141.001(a),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to be a candidate for, or elected or appointed to, a public elective office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18 years of age or older on the first day of the term to be filled at the election or on the date of appointment, as applicable;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have not been finally convicted of a felony </w:t>
      </w:r>
      <w:r>
        <w:rPr>
          <w:u w:val="single"/>
        </w:rPr>
        <w:t xml:space="preserve">or, if so convicted, has: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from which the person has not</w:t>
      </w:r>
      <w:r>
        <w:t xml:space="preserve">] been pardoned or otherwise released from the resulting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have resided continuously in the state for 12 months and in the territory from which the office is elected for six months immediately preceding the following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candidate whose name is to appear on a general primary election ballot,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independent candidate,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a write-in candidate, the date of the election at which the candidate's name is written 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a party nominee who is nominated by any method other than by primary election, the date the nomination is made;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an appointee to an office, the date the appointment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 the date described by Subdivision (5), be registered to vote in the territory from which the office is elected;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satisfy any other eligibility requirements prescribed by law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