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87R12117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1637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delivery of a deed to a grantee and to the recording of a deed.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 Property Code, is amended by adding Section 5.0195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5.0195.</w:t>
      </w:r>
      <w:r>
        <w:rPr>
          <w:u w:val="single"/>
        </w:rPr>
        <w:t xml:space="preserve"> </w:t>
      </w:r>
      <w:r>
        <w:rPr>
          <w:u w:val="single"/>
        </w:rPr>
        <w:t xml:space="preserve"> </w:t>
      </w:r>
      <w:r>
        <w:rPr>
          <w:u w:val="single"/>
        </w:rPr>
        <w:t xml:space="preserve">DELIVERY TO GRANTEE AND RECORDING OF DEED REQUIRED.  (a) </w:t>
      </w:r>
      <w:r>
        <w:rPr>
          <w:u w:val="single"/>
        </w:rPr>
        <w:t xml:space="preserve"> </w:t>
      </w:r>
      <w:r>
        <w:rPr>
          <w:u w:val="single"/>
        </w:rPr>
        <w:t xml:space="preserve">A deed that conveys an interest in real property to a grantee must be delivered to the grantee after the deed is executed.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second anniversary of the date a deed is delivered to the grantee, the deed must be recorded in the real property records of the county in which the property conveyed by the deed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deed is voidable if the deed is not delivered to the grantee and recorded as required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deed executed on or after the effective date of this Act. A deed executed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