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2021S0174-1  03/09/21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1646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children, including the definition of child abuse and the prosecution of the criminal offense of abandoning or endangering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Family Code, is amended by amending Subdivision (1) and adding Subdivision (3-a)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r>
        <w:rPr>
          <w:u w:val="single"/>
        </w:rP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for a person other than a person lawfully discharging his or her duties under a license issued under Chapter 551, Occupations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administering or supplying, or consenting to or assisting in the administering or supplying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w:t>
      </w:r>
      <w:r>
        <w:t xml:space="preserve">.</w:t>
      </w:r>
    </w:p>
    <w:p w:rsidR="003F3435" w:rsidRDefault="0032493E">
      <w:pPr>
        <w:spacing w:line="480" w:lineRule="auto"/>
        <w:ind w:firstLine="1440"/>
        <w:jc w:val="both"/>
      </w:pPr>
      <w:r>
        <w:rPr>
          <w:u w:val="single"/>
        </w:rPr>
        <w:t xml:space="preserve">(3-a)  "Intersex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sex determined;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sex determined.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22.041, Penal Code, is amended by amending Subsections (a) and (c-1) and adding Subsection (c-2)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"Abandon"</w:t>
      </w:r>
      <w:r>
        <w:t xml:space="preserve">[</w:t>
      </w:r>
      <w:r>
        <w:rPr>
          <w:strike/>
        </w:rPr>
        <w:t xml:space="preserve">, "abandon"</w:t>
      </w:r>
      <w:r>
        <w:t xml:space="preserve">] means to leave a child in any place without providing reasonable and necessary care for the child, under circumstances under which no reasonable, similarly situated adult would leave a child of that age and 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"Intersex child" means a child who is younger than 15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sex determined;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sex determined.</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and an analysis of a specimen of the child's blood, urine, or other bodily substance indicates the presence of methamphetamine in the child's body;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into the human body when the person was not in lawful possession of the substance as defined by Section 481.002(24) of that code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administers or supplies, or consents to or assists in the administering or supplying of, a puberty suppression prescription drug or cross-sex hormone to a child for the purpose of gender transitioning or gender reassignment;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performs or consents to the performance of surgery or another medical procedure on a child for the purpose of gender transitioning or gender reassignment</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presumptions provided by Subsections (c-1)(4) and (5) do not apply to conduct described by those provisions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with respect to an intersex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lawful discharge of the actor's duties under a license issued to the actor under Chapter 551,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or offense committed on or after the effective date of this Act.  A violation or offense committed before the effective date of this Act is governed by the law in effect on the date the violation or offense was committed, and the former law is continued in effect for that purpose.  For purposes of this section, a violation or offense was committed before the effective date of this Act if any element of the violation or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