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Health &amp; Human Services;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1648</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benefits to certain Medicaid recipients with complex medical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533.038, Government Code, is amended to read as follows:</w:t>
      </w:r>
    </w:p>
    <w:p w:rsidR="003F3435" w:rsidRDefault="0032493E">
      <w:pPr>
        <w:spacing w:line="480" w:lineRule="auto"/>
        <w:ind w:firstLine="720"/>
        <w:jc w:val="both"/>
      </w:pPr>
      <w:r>
        <w:t xml:space="preserve">Sec.</w:t>
      </w:r>
      <w:r xml:space="preserve">
        <w:t> </w:t>
      </w:r>
      <w:r>
        <w:t xml:space="preserve">533.038.</w:t>
      </w:r>
      <w:r xml:space="preserve">
        <w:t> </w:t>
      </w:r>
      <w:r xml:space="preserve">
        <w:t> </w:t>
      </w:r>
      <w:r>
        <w:t xml:space="preserve">COORDINATION OF BENEFITS</w:t>
      </w:r>
      <w:r>
        <w:rPr>
          <w:u w:val="single"/>
        </w:rPr>
        <w:t xml:space="preserve">; CONTINUITY OF SPECIALTY CARE FOR CERTAIN RECIPIENTS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533.038, Government Code, is amended by amending Subsection (g) and adding Subsections (h) and (i) to read as follows:</w:t>
      </w:r>
    </w:p>
    <w:p w:rsidR="003F3435" w:rsidRDefault="0032493E">
      <w:pPr>
        <w:spacing w:line="480" w:lineRule="auto"/>
        <w:ind w:firstLine="720"/>
        <w:jc w:val="both"/>
      </w:pPr>
      <w:r>
        <w:t xml:space="preserve">(g)</w:t>
      </w:r>
      <w:r xml:space="preserve">
        <w:t> </w:t>
      </w:r>
      <w:r xml:space="preserve">
        <w:t> </w:t>
      </w:r>
      <w:r>
        <w:t xml:space="preserve">The commission shall develop a clear and easy process, to be implemented through a contract, that allows a recipient with complex medical needs who has established a relationship with a specialty provider to continue receiving care from that provider</w:t>
      </w:r>
      <w:r>
        <w:rPr>
          <w:u w:val="single"/>
        </w:rPr>
        <w:t xml:space="preserve">, regardless of whether the recipient has primary health benefit plan coverage in addition to Medicaid coverage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recipient who has complex medical needs and who does not have primary health benefit plan coverage wants to continue to receive care from a specialty provider that is not in the provider network of the Medicaid managed care organization offering the managed care plan in which the recipient is enrolled, the managed care organization shall negotiate a single-case agreement with the specialty provider.  Until the Medicaid managed care organization and the specialty provider enter into the single-case agreement, the specialty provider shall be reimbursed in accordance with the applicable reimbursement methodology specified in commission rule, including 1 T.A.C. Chapter 355.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single-case agreement entered into under this section is not considered accessing an out-of-network provider for the purposes of Medicaid managed care organization network adequacy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531.0601(f),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