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87R10981 CJC-F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certain establishments related to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351.157(b), (c), and (e),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351.152(7);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351.152(10);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351.152(14);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described by Section 351.152(16);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described by Section 351.152(22);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described by Section 351.152(25);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described by Section 351.152(34);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described by Section 351.152(35);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described by Section 351.152(36);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described by Section 351.152(38).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is entitled to receive revenue under Subsection (d) derived from the following types of establishments that meet the requirements of Subsections (a)(1), (2), (3), and (4):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municipality described by Subsection (b)(1):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municipality described by Subsection (b)(2),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 municipality described by Subsection (b)(3),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a municipality described by Subsection (b)(4):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(b)(4-a):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for a municipality described by Subsection (b)(5),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for a municipality described by Subsection (b)(6),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for a municipality described by Subsection (b)(7),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 a municipality described by Subsection (b)(8),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 a municipality described by Subsection (b)(9),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 a municipality described by Subsection (b)(10):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for a municipality described by Subsection (b)(11):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municipality to which this section applies is not entitled to receive revenue under Subsection (d) unless the municipality commences a qualified project under this subchapter before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