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municipalities to receive certain tax revenue derived from certain establishments related to a hotel and convention center project and to pledge certain tax revenue for the payment of obligations related to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351.157(b), (c), and (e),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described by Section 351.152(3);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described by Section 351.152(6);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described by Section 351.152(7);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described by Section 351.152(10);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Section 351.152(14);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described by Section 351.152(16);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described by Section 351.152(22);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described by Section 351.152(25);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described by Section 351.152(34);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described by Section 351.152(35);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described by Section 351.152(36);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described by Section 351.152(38).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is entitled to receive revenue under Subsection (d) derived from the following types of establishments that meet the requirements of Subsections (a)(1), (2), (3), and (4):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municipality described by Subsection (b)(1):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a municipality described by Subsection (b)(2),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a municipality described by Subsection (b)(3),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a municipality described by Subsection (b)(4):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described by Subsection (b)(4-a):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for a municipality described by Subsection (b)(5),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for a municipality described by Subsection (b)(6),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for a municipality described by Subsection (b)(7),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 a municipality described by Subsection (b)(8),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 a municipality described by Subsection (b)(9),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 a municipality described by Subsection (b)(10):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for a municipality described by Subsection (b)(11):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municipality to which this section applies is not entitled to receive revenue under Subsection (d) unless the municipality commences a qualified project under this subchapter before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