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87R5189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proposed changes to municipal zoning classifications.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211.007, Local Government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zoning commission must give written notice of a public hearing before the commission on a proposed change in zoning classification to each owner of real property that is wholly or partly located in an unincorporated area of a county if the nearest property line of the property is located not more than two miles from the nearest boundary of the area for which the zoning classification change is proposed. </w:t>
      </w:r>
      <w:r>
        <w:rPr>
          <w:u w:val="single"/>
        </w:rPr>
        <w:t xml:space="preserve"> </w:t>
      </w:r>
      <w:r>
        <w:rPr>
          <w:u w:val="single"/>
        </w:rPr>
        <w:t xml:space="preserve">The commission must provide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day before the date of the hearing;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United States mail, addressed to each owner of the property, as indicated on the most recently approved county tax roll.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proposal to change a municipal zoning classification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