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87R5193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clarifying the law regarding municipal voting rights and eligibility for municipal office of residents of areas subject to limited-purpose annexation under strategic partnership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43.0751, Local Government Code, is amended by amending Subsection (q) and adding Subsection (q-1) to read as follows:</w:t>
      </w:r>
    </w:p>
    <w:p w:rsidR="003F3435" w:rsidRDefault="0032493E">
      <w:pPr>
        <w:spacing w:line="480" w:lineRule="auto"/>
        <w:ind w:firstLine="720"/>
        <w:jc w:val="both"/>
      </w:pPr>
      <w:r>
        <w:t xml:space="preserve">(q)</w:t>
      </w:r>
      <w:r xml:space="preserve">
        <w:t> </w:t>
      </w:r>
      <w:r xml:space="preserve">
        <w:t> </w:t>
      </w:r>
      <w:r>
        <w:rPr>
          <w:u w:val="single"/>
        </w:rPr>
        <w:t xml:space="preserve">The qualified voters of an area in a district annexed for limited purposes under a strategic partnership agreement are entitled to vote in municipal elections as provided by Section 43.130(a) in the same manner as qualified voters of any other area annexed for limited purposes, and that subsection applies to a limited-purpose annexation under a strategic partnership agreement. Residents of an area in a district annexed for limited purposes under a strategic partnership agreement are not eligible to be a candidate for or to be elected to a municipal office as provided by Section 43.130(b).</w:t>
      </w:r>
    </w:p>
    <w:p w:rsidR="003F3435" w:rsidRDefault="0032493E">
      <w:pPr>
        <w:spacing w:line="480" w:lineRule="auto"/>
        <w:ind w:firstLine="720"/>
        <w:jc w:val="both"/>
      </w:pPr>
      <w:r>
        <w:rPr>
          <w:u w:val="single"/>
        </w:rPr>
        <w:t xml:space="preserve">(q-1)</w:t>
      </w:r>
      <w:r xml:space="preserve">
        <w:t> </w:t>
      </w:r>
      <w:r xml:space="preserve">
        <w:t> </w:t>
      </w:r>
      <w:r>
        <w:t xml:space="preserve">Except </w:t>
      </w:r>
      <w:r>
        <w:rPr>
          <w:u w:val="single"/>
        </w:rPr>
        <w:t xml:space="preserve">as provided by Subsection (q)</w:t>
      </w:r>
      <w:r>
        <w:t xml:space="preserve"> [</w:t>
      </w:r>
      <w:r>
        <w:rPr>
          <w:strike/>
        </w:rPr>
        <w:t xml:space="preserve">for Sections 43.130(a) and (b)</w:t>
      </w:r>
      <w:r>
        <w:t xml:space="preserve">], Subchapter F does not apply to a limited-purpose annexation under a strategic partnership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is intended only to clarify existing law with respect to the municipal voting rights and eligibility for office of residents in areas subject to limited-purpose annexation under strategic partnership agreements.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