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87R5291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1666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energy efficiency building standards.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388.003(i), Health and Safety Code, is amended to read as follows:</w:t>
      </w:r>
    </w:p>
    <w:p w:rsidR="003F3435" w:rsidRDefault="0032493E">
      <w:pPr>
        <w:spacing w:line="480" w:lineRule="auto"/>
        <w:ind w:firstLine="720"/>
        <w:jc w:val="both"/>
      </w:pPr>
      <w:r>
        <w:t xml:space="preserve">(i)</w:t>
      </w:r>
      <w:r xml:space="preserve">
        <w:t> </w:t>
      </w:r>
      <w:r xml:space="preserve">
        <w:t> </w:t>
      </w:r>
      <w:r>
        <w:t xml:space="preserve">A building certified by a national, state, or local accredited energy efficiency program and determined by the laboratory to be in compliance with the energy efficiency requirements of this section may, at the option of the municipality, be considered in compliance. </w:t>
      </w:r>
      <w:r>
        <w:t xml:space="preserve"> </w:t>
      </w:r>
      <w:r>
        <w:t xml:space="preserve">The </w:t>
      </w:r>
      <w:r>
        <w:rPr>
          <w:u w:val="single"/>
        </w:rPr>
        <w:t xml:space="preserve">following are considered in compliance: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w:t>
      </w:r>
      <w:r>
        <w:t xml:space="preserve"> United States Environmental Protection Agency's Energy Star Program certification of energy code equivalency</w:t>
      </w:r>
      <w:r>
        <w:rPr>
          <w:u w:val="single"/>
        </w:rPr>
        <w:t xml:space="preserve">;</w:t>
      </w:r>
      <w:r>
        <w:t xml:space="preserve"> [</w:t>
      </w:r>
      <w:r>
        <w:rPr>
          <w:strike/>
        </w:rPr>
        <w:t xml:space="preserve">shall be considered in compliance.</w:t>
      </w:r>
      <w: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Standard 301 of the American National Standard for the Calculation and Labeling of the Energy Performance of Dwelling and Sleeping Units using an Energy Rating Index, commonly cited as ANSI/RESNET/ICC 301;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Standard 380 of the American National Standard for Testing Airtightness of Building, Dwelling Unit, and Sleeping Unit Enclosures, Airtightness of Heating and Cooling Air Distribution Systems, and Airflow of Mechanical Ventilation Systems, commonly cited as ANSI/RESNET/ICC 380;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w:t>
      </w:r>
      <w:r>
        <w:t xml:space="preserve"> [</w:t>
      </w:r>
      <w:r>
        <w:rPr>
          <w:strike/>
        </w:rPr>
        <w:t xml:space="preserve">The</w:t>
      </w:r>
      <w:r>
        <w:t xml:space="preserve">] Energy Rating Index Compliance Alternative or subsequent alternative compliance path as described by Subsection (j) [</w:t>
      </w:r>
      <w:r>
        <w:rPr>
          <w:strike/>
        </w:rPr>
        <w:t xml:space="preserve">shall be considered in compliance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