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 </w:t>
      </w:r>
      <w:r>
        <w:t xml:space="preserve">Yeas 8, </w:t>
      </w:r>
      <w:r>
        <w:t xml:space="preserve"> </w:t>
      </w:r>
      <w:r>
        <w:t xml:space="preserve"> </w:t>
      </w:r>
      <w:r>
        <w:t xml:space="preserve">Nays 0;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1668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licensing and examination requirements for persons engaged in liquefied petroleum gas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113.095,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113.095.</w:t>
      </w:r>
      <w:r xml:space="preserve">
        <w:t> </w:t>
      </w:r>
      <w:r xml:space="preserve">
        <w:t> </w:t>
      </w:r>
      <w:r>
        <w:t xml:space="preserve">LICENSE AND EXAMINATION BY ENDORSEMENT</w:t>
      </w:r>
      <w:r>
        <w:rPr>
          <w:u w:val="single"/>
        </w:rPr>
        <w:t xml:space="preserve">: OUT-OF-STATE LICENSE OR CERTIFICATION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113, Natural Resources Code, is amended by adding Section 113.0955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113.0955.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AND EXAMINATION BY ENDORSEMENT: NATIONALLY RECOGNIZED TRAINING.  The commission by rule shall waive the requirements of Section 113.087 for an applicant for a license for cylinder filling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training consistent with the guidelines established by the Propane Education &amp; Research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proof of completion of training described by Subdivision 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an application for that type of license;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the applicable original nonrefundable license fee as established by the commission under Section 113.082.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