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public health directives issued during a state of disaster or outbreak of a communicable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418.0165.</w:t>
      </w:r>
      <w:r>
        <w:rPr>
          <w:u w:val="single"/>
        </w:rPr>
        <w:t xml:space="preserve"> </w:t>
      </w:r>
      <w:r>
        <w:rPr>
          <w:u w:val="single"/>
        </w:rPr>
        <w:t xml:space="preserve"> </w:t>
      </w:r>
      <w:r>
        <w:rPr>
          <w:u w:val="single"/>
        </w:rPr>
        <w:t xml:space="preserve">PUBLIC HEALTH DIRECTIVES.  During a state of disaster declared by the governor, if the governor issues a public health directive as the governor determines necessary to address the disaster, the directive must not be more stringent than any public health directive for undocumented immigrants issued by United States Immigration and Customs Enforcement.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PUBLIC HEALTH DIRECTIVES.  If the department or a health authority issues a public health directive under this chapter as the department or health authority determines necessary to address an outbreak of a communicable disease or public health disaster, the directive may not be more stringent than any public health directive for undocumented immigrants issued by United States Immigration and Customs Enforcement.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directive issued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