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1675</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 81.006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MODIFICATION OF EARLY VOTING BY MAIL QUALIFICATIONS AND PROCEDURES.  Except as specifically permitted by statute, the qualifications for early voting by mail and procedures for conducting early voting by mail may not be amended or suspended for any reason.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418.016,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and except as provided by this subsection, the governor may not suspend a provision of a statute, an order, or a rule under this section if the provision, order, or rule is related to the qualifications or procedures for early voting by mail.  Upon declaration of a state of disaster, the governor may suspend Section 86.006(a-1), Election Code, only for the purpose of allowing a voter registered to vote at an address located in a disaster area to deliver a marked ballot voted under Section 86.006(a-1) to the early voting clerk's office on or before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418.108,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presiding officer of the governing body of a political subdivision may not suspend a provision of a statute, rule, or order under this section if the statute, rule, or order is related to the qualifications or procedures for early voting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