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1675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early voting by mail and voting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Election Code, is amended by adding Section 81.006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81.006.</w:t>
      </w:r>
      <w:r>
        <w:rPr>
          <w:u w:val="single"/>
        </w:rPr>
        <w:t xml:space="preserve"> </w:t>
      </w:r>
      <w:r>
        <w:rPr>
          <w:u w:val="single"/>
        </w:rPr>
        <w:t xml:space="preserve"> </w:t>
      </w:r>
      <w:r>
        <w:rPr>
          <w:u w:val="single"/>
        </w:rPr>
        <w:t xml:space="preserve">MODIFICATION OF EARLY VOTING BY MAIL AND VOTING BY MAIL QUALIFICATIONS AND PROCEDURES.  Except as specifically permitted by statute, the qualifications may not be amended or suspended for any reason for:</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early voting by mail and procedures for conducting early voting by mail; and</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voting by mail and procedures for conducting voting by mail.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418.016,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(a) and except as provided by this subsection, the governor may not suspend a provision of a statute, an order, or a rule under this section if the provision, order, or rule is related to the qualifications or procedures for early voting by mail and voting by mail.  Upon declaration of state of disaster, the governor may suspend Section 86.006(a-1), Election Code, only for the purpose of allowing a voter registered to vote at an address located in a disaster area to deliver a marked ballot voted under Section 86.006(a-1) to the early voting clerk's office on or before election 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418.108, Government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presiding officer of the governing body of a political subdivision may not suspend a provision of a statute, an order, or a rule under this section if the provision, order, or rule is related to the qualifications or procedures for early voting by mail and voting by mail.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