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reporting and posting requirements for public institutions of higher education and other state agencies and the requirement for a plan by certain school districts to increase enrollment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in the state shall adopt rules and regulations concerning faculty academic workloads.  In adopting rules under this subsection, each institution shall recognize that classroom teaching, basic and applied research, and professional development are important elements of faculty academic workloads by giving appropriate weight to each activity when determining the standards for faculty academic workload.  An institution may give the same or different weight to each activity and to other activities recognized by the institution as important elements of faculty academic workloads.  [</w:t>
      </w:r>
      <w:r>
        <w:rPr>
          <w:strike/>
        </w:rPr>
        <w:t xml:space="preserve">The established rules and regulations of each institution shall be included in the operating budgets of each institution.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61, Education Code, is amended by adding Section 61.0341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61.0341.</w:t>
      </w:r>
      <w:r>
        <w:rPr>
          <w:u w:val="single"/>
        </w:rPr>
        <w:t xml:space="preserve"> </w:t>
      </w:r>
      <w:r>
        <w:rPr>
          <w:u w:val="single"/>
        </w:rPr>
        <w:t xml:space="preserve"> </w:t>
      </w:r>
      <w:r>
        <w:rPr>
          <w:u w:val="single"/>
        </w:rPr>
        <w:t xml:space="preserve">LIMITATION ON DATA COLLECTION AND REPORTING REQUIREMENTS.  (a) </w:t>
      </w:r>
      <w:r>
        <w:rPr>
          <w:u w:val="single"/>
        </w:rPr>
        <w:t xml:space="preserve"> </w:t>
      </w:r>
      <w:r>
        <w:rPr>
          <w:u w:val="single"/>
        </w:rPr>
        <w:t xml:space="preserve">The legislature finds that data collection and reporting requirements for institutions of higher education must be limited and reduced to the extent feasible.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of higher education determines that the board has access to an alternative means of collecting data or receiving information to be included in a report sufficient to fulfill a requirement under this code, the board by rule may eliminate the reporting requirement for that data or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659.0201(b),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that accepts a gift, grant, donation, or other consideration from a person that the person designates to be used as a salary supplement for an employee of the agency shall post on the agency's Internet website[</w:t>
      </w:r>
      <w:r>
        <w:rPr>
          <w:strike/>
        </w:rPr>
        <w:t xml:space="preserve">, in addition to the information required by Section 659.026,</w:t>
      </w:r>
      <w:r>
        <w:t xml:space="preserve">] the amount of each gift, grant, donation, or other consideration provided by the person that is designated to be used as a salary supplement for an employee of the agency.  The agency may not post the name of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29.904 and 51.4031, Education Code; and</w:t>
      </w:r>
    </w:p>
    <w:p w:rsidR="003F3435" w:rsidRDefault="0032493E">
      <w:pPr>
        <w:spacing w:line="480" w:lineRule="auto"/>
        <w:ind w:firstLine="1440"/>
        <w:jc w:val="both"/>
      </w:pPr>
      <w:r>
        <w:t xml:space="preserve">(2)</w:t>
      </w:r>
      <w:r xml:space="preserve">
        <w:t> </w:t>
      </w:r>
      <w:r xml:space="preserve">
        <w:t> </w:t>
      </w:r>
      <w:r>
        <w:t xml:space="preserve">Section 659.026,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1677 passed the Senate on April</w:t>
      </w:r>
      <w:r xml:space="preserve">
        <w:t> </w:t>
      </w:r>
      <w:r>
        <w:t xml:space="preserve">21,</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1677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