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55.17991, and 55.17992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Prairie View A&amp;M University, $60 million for construction of an engineering classroom and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Tarleton State University, $72 million for construction of an agricultural and natural resources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$65 million for construction of an instructional laboratory and innovative learning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 million for construction of a research facility and nursing instruction center at the Higher Education Center in McAllen,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University--Central Texas, $25 million for construction of a central utility plant;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$49.5 million for construction of an agriculture multipurpose education and training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$58.5 million for construction of an arts and media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$40 million for construction of an immersive scholarship and learning environment building, a central plant, and campus infrastructure;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International University, $60 million for construction of a student classroom and events center;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University--Kingsville, $60 million for construction of a STEM and health professions workforce development complex;</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Texas A&amp;M University--San Antonio, $53 million for construction of an academic and library building;</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University--Texarkana, $46 million for construction of a business, engineering, and technology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West Texas A&amp;M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$28.5 million for capital improvements to address life and fire safety issues;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million for renovation of the education building;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Texas A&amp;M University System Health Science Center, $100 million for a joint project with The University of Texas M.</w:t>
      </w:r>
      <w:r>
        <w:rPr>
          <w:u w:val="single"/>
        </w:rPr>
        <w:t xml:space="preserve"> </w:t>
      </w:r>
      <w:r>
        <w:rPr>
          <w:u w:val="single"/>
        </w:rPr>
        <w:t xml:space="preserve">D.</w:t>
      </w:r>
      <w:r>
        <w:rPr>
          <w:u w:val="single"/>
        </w:rPr>
        <w:t xml:space="preserve"> </w:t>
      </w:r>
      <w:r>
        <w:rPr>
          <w:u w:val="single"/>
        </w:rPr>
        <w:t xml:space="preserve">Anderson Cancer Center and The University of Texas Health Science Center at Houston for construction of a biomedical research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$76 million for construction of a social work and college of nursing academic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$59 million for rehabilitation and renovation of the life sciences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$135 million for restoration of the J.</w:t>
      </w:r>
      <w:r>
        <w:rPr>
          <w:u w:val="single"/>
        </w:rPr>
        <w:t xml:space="preserve"> </w:t>
      </w:r>
      <w:r>
        <w:rPr>
          <w:u w:val="single"/>
        </w:rPr>
        <w:t xml:space="preserve">T. Patterson Labs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$60 million for a joint project with The University of Texas Southwestern Medical Center at Dallas for construction of a translational biomedical engineering and science building on The University of Texas Southwestern Medical Center at Dallas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$75 million for construction of a student success center on The University of Texas at Dallas campus;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$113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$40 million for improvement and renovation of the Mesa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Texas--Rio Grande Valley, $70 million for construction of a health affairs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at San Antonio, $126,250,000 for construction of a college of business building at the downtown campus;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$50 million for construction of a college of nursing and health science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Houston, $100 million for a joint project with The Texas A&amp;M University System Health Science Center and The University of Texas M.</w:t>
      </w:r>
      <w:r>
        <w:rPr>
          <w:u w:val="single"/>
        </w:rPr>
        <w:t xml:space="preserve"> </w:t>
      </w:r>
      <w:r>
        <w:rPr>
          <w:u w:val="single"/>
        </w:rPr>
        <w:t xml:space="preserve">D.</w:t>
      </w:r>
      <w:r>
        <w:rPr>
          <w:u w:val="single"/>
        </w:rPr>
        <w:t xml:space="preserve"> </w:t>
      </w:r>
      <w:r>
        <w:rPr>
          <w:u w:val="single"/>
        </w:rPr>
        <w:t xml:space="preserve">Anderson Cancer Center for construction of a biomedical research facility;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San Antonio, $82 million for construction of the Glenn Biggs Institute for Alzheimer's &amp; Neurodegenerative Diseases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$18,521,432 for improvement and renovation of a biomedical research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M. D. Anderson Cancer Center, $100 million for a joint project with The Texas A&amp;M University System Health Science Center and The University of Texas Health Science Center at Houston for construction of a biomedical research facility;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Medical Branch at Galveston, $120 million for construction of an education and clinical multiuse building;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Southwestern Medical Center at Dallas: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$60 million for a joint project with The University of Texas at Dallas for construction of a translational biomedical engineering and science building on The University of Texas Southwestern Medical Center at Dallas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million for construction of the Peter O'Donnell Jr. Brain Institute research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$50 million for construction of an academic, administration, and student services building on the Katy, Texas,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million for construction of a law center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$35 million for construction of the Hobby School for Public Affairs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$56 million for Phase II of the STEM and classroom building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$85 million for construction of an arts, sciences, engineering, entrepreneurship, collaboration retention, and academic engagement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$15 million for repurposing the Student Life Center as a student union building;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$60 million for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University, $45 million for construction of a digital learning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$32 million for construction of an academic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 million for construction of an allied health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$1,012,500 for construction of a workforce training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 million for construction of a workforce training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$1,100,000 for construction of a professional truck driving academy building;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Sam Houston State University, $70 million for construction of an allied health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$25.5 million for expansion of the fine arts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Sul Ross State University Rio Grande College, $20 million for construction of an education center located in Eagle Pass, Texas;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$90 million for construction of a STEM classroom building located in San Marcos,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 million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$126 million for construction of a science and technology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$80 million for construction of a STEM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$115.5 million for construction of an academic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MIDWESTERN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Midwestern State University may acquire, purchase, construct, improve, renovate, enlarge, or equip property and facilities, including roads and related infrastructure, for infrastructure upgrades, to be financed through the issuance of bonds in accordance with this subchapter, not to exceed the aggregate principal amount of $10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STEPHEN F. AUSTIN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Stephen F. Austin State University may acquire, purchase, construct, improve, renovate, enlarge, or equip property and facilities, including roads and related infrastructure, for a natural resources science and innovations laboratory, to be financed through the issuance of bonds in accordance with this subchapter, not to exceed the aggregate principal amount of $48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$22.5 million for construction of a college of arts and humanities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$118,080,000 for construction of a science and engineering complex;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$34,650,000 for expansion of the academic and clinic building located in Amarillo,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$55 million for expansion of the Texas Tech University Health Sciences building in Midland,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$92,349,000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deferred maintenance for campus facilities, to be financed through the issuance of bonds in accordance with this subchapter, not to exceed the aggregate principal amount of $50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55.17992.</w:t>
      </w:r>
      <w:r>
        <w:rPr>
          <w:u w:val="single"/>
        </w:rPr>
        <w:t xml:space="preserve"> </w:t>
      </w:r>
      <w:r>
        <w:rPr>
          <w:u w:val="single"/>
        </w:rPr>
        <w:t xml:space="preserve"> </w:t>
      </w:r>
      <w:r>
        <w:rPr>
          <w:u w:val="single"/>
        </w:rPr>
        <w:t xml:space="preserve">TEXAS STATE TECHNICAL COLLEGE SYSTEM.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$16.5 million for Phase II of the industrial technology center located in Williamson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$30,377,000 for Phase III of the campus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$20 million for construction of an industrial technology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$8,572,000 for consolidation construction for a single campus;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$10,938,000 for Phase II of the new campus construction;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College--Waco, $20 million for construction of a computer technology center;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College--West Texas, $28,177,000 for Phase II of the Abilene campus construction.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