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87R11441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comprehensive development agreements entered into for transportation projects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STUDY ON COMPREHENSIVE DEVELOPMENT AGREEMENTS.  (a)  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"Comprehensive development agreement" has the meaning assigned by Section 223.201, Transportation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"Department" means the Texas Department of Transportation.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"Institute" means the Texas A&amp;M Transportation Institute.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institute, in consultation with the department, shall conduct a study on comprehensive development agreements entered into for transportation projects in this state.  The study must include an analysis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contract provisions in comprehensive development agreements relating to maintenance and safety;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responsibilities of each party to the comprehensive development agreements relating to maintenance and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REPORT.  Not later than December 1, 2022, the institute shall submit a report containing the results of the study conducted under Section 1 of this Act to the members of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January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