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home dialysis care by a dialysis technician.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251, Health and Safety Code, is amended by adding Section 251.033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251.033.</w:t>
      </w:r>
      <w:r>
        <w:rPr>
          <w:u w:val="single"/>
        </w:rPr>
        <w:t xml:space="preserve"> </w:t>
      </w:r>
      <w:r>
        <w:rPr>
          <w:u w:val="single"/>
        </w:rPr>
        <w:t xml:space="preserve"> </w:t>
      </w:r>
      <w:r>
        <w:rPr>
          <w:u w:val="single"/>
        </w:rPr>
        <w:t xml:space="preserve">PROVISION OF HOME DIALYSIS CARE.  (a)  A dialysis technician may provide home dialysis care, including hemodialysis,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care is provided under the direct supervision of a registered nurse who is employed by the same entity that employs the dialysis technician;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dialysis technician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complied with all executive commissioner rules on training and competency for dialysis technicians;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successfully completed orientation and skills education requirements equivalent to the requirements for a registered or licensed vocational nurse who provides home dialysis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"direct supervision" means supervision by a registered nurse who is physically present on the premises, but not necessarily present in the room where the dialysis services are provided, at which a dialysis technician provides home dialysis care and is immediately available to respond to patient needs.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251.033,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