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Education;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10, Nays 0, one present not voting; April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establishing a system for the sharing of information regarding cyber attacks or other cybersecurity incidents occurring in schools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11.175, Education Code, is amended by amending Subsection (e) and adding Subsections (g), (h), and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district's cybersecurity coordinator shall report to the agency </w:t>
      </w:r>
      <w:r>
        <w:rPr>
          <w:u w:val="single"/>
        </w:rPr>
        <w:t xml:space="preserve">or, if applicable, the entity that administers the system established under Subsection (g)</w:t>
      </w:r>
      <w:r>
        <w:t xml:space="preserve"> any cyber attack or other cybersecurity incident against the district cyberinfrastructure that constitutes a breach of system security as soon as practicable after the discovery of the attack or incident.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agency, in coordination with the Department of Information Resources, shall establish and maintain a system to coordinate the anonymous sharing of information concerning cyber attacks or other cybersecurity incidents between public and private schools and the state. </w:t>
      </w:r>
      <w:r>
        <w:rPr>
          <w:u w:val="single"/>
        </w:rPr>
        <w:t xml:space="preserve"> </w:t>
      </w:r>
      <w:r>
        <w:rPr>
          <w:u w:val="single"/>
        </w:rPr>
        <w:t xml:space="preserve">The system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each report made under Subsection (e);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reports made under Subsection (e) to be shared between schools in as close to real time as possible;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 a reporting school's anonymity by preventing the disclosure through the system of the name of the school at which an attack or incident occurred.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establishing the system under Subsection (g), the agency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contract with a qualified third party to administer the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allow open-enrollment charter schools and private schools in this state to report and receive information through the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