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87R2491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group health care benefits and the promotion of telehealth services for certain persons who are eligible for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62, Health and Safety Code, is amended by adding Section 62.061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62.061.</w:t>
      </w:r>
      <w:r>
        <w:rPr>
          <w:u w:val="single"/>
        </w:rPr>
        <w:t xml:space="preserve"> </w:t>
      </w:r>
      <w:r>
        <w:rPr>
          <w:u w:val="single"/>
        </w:rPr>
        <w:t xml:space="preserve"> </w:t>
      </w:r>
      <w:r>
        <w:rPr>
          <w:u w:val="single"/>
        </w:rPr>
        <w:t xml:space="preserve">HEALTH SERVICES INITIATIVE TO PROMOTE TELEHEALTH SERVICES.  (a)  In this section, "telehealth service" has the meaning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implement a health services initiative designed to leverage federal money available under the child health plan program under 42 U.S.C. Section 1397ee(a)(1)(D)(ii) to fund technology or infrastructure needed to promote the availability and use of telehealth services for providing health care benefits in a group setting to a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18 years of age or younger;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annual household income is equal to or less than 200 percent of the federal poverty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possible, the health services initiative must be designed to identify children who are eligible for the child health plan program and children who are eligible for the medical assistance program under Chapter 32, Human Resources Code.  The commission may automatically enroll an identified child in the child health plan program or the medical assistance program,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32.0248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32.0248.</w:t>
      </w:r>
      <w:r>
        <w:rPr>
          <w:u w:val="single"/>
        </w:rPr>
        <w:t xml:space="preserve"> </w:t>
      </w:r>
      <w:r>
        <w:rPr>
          <w:u w:val="single"/>
        </w:rPr>
        <w:t xml:space="preserve"> </w:t>
      </w:r>
      <w:r>
        <w:rPr>
          <w:u w:val="single"/>
        </w:rPr>
        <w:t xml:space="preserve">MEDICAL ASSISTANCE FOR CERTAIN GROUP HEALTH CARE BENEFITS; ENHANCED REIMBURSEMENT.  (a)  The commission shall provide medical assistance at an enhanced reimbursement rate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prenatal care benefits provided to a recipient who is pregnant in a group setting with other pregnant women;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benefits provided to a recipient who is younger than two years of age in a group setting with other children of the same age group.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medical assistance under Subsection (a)(1), the commission shall ensure prenatal care benefits provided by the following provider types are reimbursable: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federally qualified health center as defined by 42 U.S.C. Section 1396d(l)(2)(B);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health clinic as defined by 42 U.S.C. Section 1396d(l)(1);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facility-based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