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1719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appellate jurisdiction of the Public Utility Commission regarding certain water or sewer utility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(g) and adding Subsection (g-1) to read as follows:</w:t>
      </w:r>
    </w:p>
    <w:p w:rsidR="003F3435" w:rsidRDefault="0032493E">
      <w:pPr>
        <w:spacing w:line="480" w:lineRule="auto"/>
        <w:ind w:firstLine="720"/>
        <w:jc w:val="both"/>
      </w:pPr>
      <w:r>
        <w:t xml:space="preserve">(g)</w:t>
      </w:r>
      <w:r xml:space="preserve">
        <w:t> </w:t>
      </w:r>
      <w:r xml:space="preserve">
        <w:t> </w:t>
      </w:r>
      <w:r>
        <w:t xml:space="preserve">An applicant for service from an affected county or a water supply or sewer service corporation may appeal to the utility commission a decision of the county or water supply or sewer service corporation </w:t>
      </w:r>
      <w:r>
        <w:rPr>
          <w:u w:val="single"/>
        </w:rPr>
        <w:t xml:space="preserve">relating to any fee or</w:t>
      </w:r>
      <w:r>
        <w:t xml:space="preserve"> </w:t>
      </w:r>
      <w:r>
        <w:rPr>
          <w:strike/>
        </w:rPr>
        <w:t xml:space="preserve">affecting the</w:t>
      </w:r>
      <w:r>
        <w:t xml:space="preserve"> amount to be paid to obtain service other than the regular membership or tap fees.  In addition to the factors specified under Subsection (j), in an appeal brought under this subsection the utility commission shall determine whether the amount paid by the applicant is consistent with the tariff of the water supply or sewer service corporation and is reasonably related to the cost of installing on-site and off-site facilities to provide service to that applicant.  If the utility commission finds the amount charged to be clearly unreasonable, it shall establish the fee to be paid for that applicant.  An appeal under this subsection must be initiated within 90 days after the date written notice is provided to the applicant or member of the decision of an affected county or water supply or sewer service corporation relating to the applicant's initial request for that service.  A determination made by the utility commission on an appeal under this subsection is binding on all similarly situated applicants for service, and the utility commission may not consider other appeals on the same issue until the applicable provisions of the tariff of the water supply or sewer service corporation are amended.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applicant for service from a water supply or sewer service corporation may appeal to the utility commission for a determination of whether the regular membership or tap fee required to be paid to obtain service is consistent with the tariff of the water supply or sewer service corporation.  If the utility commission finds the regular membership or tap fee is not consistent, it shall issue an order requiring the water supply or sewer service corporation to charge the applicant an amount consistent with the tariff.  An appeal under this subsection must be initiated within 30 days after the date the water supply or sewer service corporation provides the applicant with the cost for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