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2021S0191-1  03/10/21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1721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of wildlife and wildlife habitat by a home-rule municipality;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Health and Safety Code, is amended by adding Chapter 830 to read as follows:</w:t>
      </w:r>
    </w:p>
    <w:p w:rsidR="003F3435" w:rsidRDefault="0032493E">
      <w:pPr>
        <w:spacing w:line="480" w:lineRule="auto"/>
        <w:jc w:val="center"/>
      </w:pPr>
      <w:r>
        <w:rPr>
          <w:u w:val="single"/>
        </w:rPr>
        <w:t xml:space="preserve">CHAPTER 830.  WILDLIFE AND WILDLIFE HABITAT WITHIN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rescue nonprofit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exempt from federal income tax under Section 501(a), Internal Revenue Code of 1986, and its subsequent amendments, by being listed as an exempt organization under Section 501(c)(3) of that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engaged in the rehabilitation of sick, injured, or orphaned wildlife located in the area served by the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 project" means a project to develop a site, or improve a developed site, for profit.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830.002.</w:t>
      </w:r>
      <w:r>
        <w:rPr>
          <w:u w:val="single"/>
        </w:rPr>
        <w:t xml:space="preserve"> </w:t>
      </w:r>
      <w:r>
        <w:rPr>
          <w:u w:val="single"/>
        </w:rPr>
        <w:t xml:space="preserve"> </w:t>
      </w:r>
      <w:r>
        <w:rPr>
          <w:u w:val="single"/>
        </w:rPr>
        <w:t xml:space="preserve">IMPOSITION OF MITIGATION FEE.  (a)  A  home-rule municipality may impose on the developer of a development project located within the corporate boundaries of the municipality or the extraterritorial jurisdiction of the municipality a fee not to exceed $100 for each acre or portion of an acre on which natural vegetation is removed as part of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395, Local Government Code, does not apply to a fee imposed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830.003.</w:t>
      </w:r>
      <w:r>
        <w:rPr>
          <w:u w:val="single"/>
        </w:rPr>
        <w:t xml:space="preserve"> </w:t>
      </w:r>
      <w:r>
        <w:rPr>
          <w:u w:val="single"/>
        </w:rPr>
        <w:t xml:space="preserve"> </w:t>
      </w:r>
      <w:r>
        <w:rPr>
          <w:u w:val="single"/>
        </w:rPr>
        <w:t xml:space="preserve">EXPENDITURE OF MONEY COLLECTED FROM FEE.  A municipality may spend money collected from a fee authorized by Section 830.002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the rehabilitation of wildlife by an animal rescue nonprofit organization that provides services in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mitigate the damage done to wildlife by a development project's temporary or permanent removal of wildlife habitat.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830, Health and Safety Code, as added by this Act, applies only to a development project for which the first permit or other written approval is granted by a municipality on or after the effective date of this Act.  A development project for which the first permit or other written approval is granted by a municipality before the effective date of this Act is governed by the law in effect when the permit or other written approval was granted,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